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B0E4B" w14:textId="77777777" w:rsidR="003D4516" w:rsidRPr="004F5091" w:rsidRDefault="003D4516" w:rsidP="003D4516">
      <w:pPr>
        <w:rPr>
          <w:lang w:val="en-GB"/>
        </w:rPr>
      </w:pPr>
      <w:bookmarkStart w:id="0" w:name="_Hlk84356618"/>
      <w:bookmarkEnd w:id="0"/>
    </w:p>
    <w:p w14:paraId="7A4012EF" w14:textId="77777777" w:rsidR="003D4516" w:rsidRDefault="003D4516" w:rsidP="003D4516">
      <w:pPr>
        <w:pStyle w:val="Title"/>
        <w:jc w:val="center"/>
        <w:rPr>
          <w:rFonts w:ascii="Arial" w:hAnsi="Arial" w:cs="Arial"/>
          <w:szCs w:val="22"/>
          <w:u w:val="single"/>
        </w:rPr>
      </w:pPr>
    </w:p>
    <w:p w14:paraId="072343CE" w14:textId="77777777" w:rsidR="003D4516" w:rsidRDefault="003D4516" w:rsidP="003D4516">
      <w:pPr>
        <w:pStyle w:val="Title"/>
        <w:jc w:val="center"/>
        <w:rPr>
          <w:rFonts w:ascii="Arial" w:hAnsi="Arial" w:cs="Arial"/>
          <w:szCs w:val="22"/>
          <w:u w:val="single"/>
        </w:rPr>
      </w:pPr>
    </w:p>
    <w:p w14:paraId="6EECEC4E" w14:textId="77777777" w:rsidR="003D4516" w:rsidRDefault="003D4516" w:rsidP="003D4516">
      <w:pPr>
        <w:pStyle w:val="Title"/>
        <w:jc w:val="center"/>
        <w:rPr>
          <w:rFonts w:ascii="Arial" w:hAnsi="Arial" w:cs="Arial"/>
          <w:szCs w:val="22"/>
          <w:u w:val="single"/>
        </w:rPr>
      </w:pPr>
    </w:p>
    <w:p w14:paraId="12326E90" w14:textId="77777777" w:rsidR="003D4516" w:rsidRDefault="003D4516" w:rsidP="003D4516">
      <w:pPr>
        <w:pStyle w:val="Title"/>
        <w:jc w:val="center"/>
        <w:rPr>
          <w:rFonts w:ascii="Arial" w:hAnsi="Arial" w:cs="Arial"/>
          <w:szCs w:val="22"/>
          <w:u w:val="single"/>
        </w:rPr>
      </w:pPr>
    </w:p>
    <w:p w14:paraId="33C85877" w14:textId="77777777" w:rsidR="003D4516" w:rsidRDefault="003D4516" w:rsidP="003D4516">
      <w:pPr>
        <w:pStyle w:val="Title"/>
        <w:jc w:val="center"/>
        <w:rPr>
          <w:rFonts w:ascii="Arial" w:hAnsi="Arial" w:cs="Arial"/>
          <w:szCs w:val="22"/>
          <w:u w:val="single"/>
        </w:rPr>
      </w:pPr>
    </w:p>
    <w:p w14:paraId="27F69204" w14:textId="77777777" w:rsidR="003D4516" w:rsidRDefault="003D4516" w:rsidP="003D4516">
      <w:pPr>
        <w:pStyle w:val="Title"/>
        <w:jc w:val="center"/>
        <w:rPr>
          <w:rFonts w:ascii="Arial" w:hAnsi="Arial" w:cs="Arial"/>
          <w:szCs w:val="22"/>
          <w:u w:val="single"/>
        </w:rPr>
      </w:pPr>
    </w:p>
    <w:p w14:paraId="394C738D" w14:textId="77777777" w:rsidR="003D4516" w:rsidRDefault="003D4516" w:rsidP="003D4516">
      <w:pPr>
        <w:rPr>
          <w:lang w:val="en-GB"/>
        </w:rPr>
      </w:pPr>
    </w:p>
    <w:p w14:paraId="44F9C8BB" w14:textId="77777777" w:rsidR="003D4516" w:rsidRDefault="003D4516" w:rsidP="003D4516">
      <w:pPr>
        <w:rPr>
          <w:lang w:val="en-GB"/>
        </w:rPr>
      </w:pPr>
    </w:p>
    <w:p w14:paraId="3D9685FA" w14:textId="77777777" w:rsidR="003D4516" w:rsidRPr="00137FA2" w:rsidRDefault="003D4516" w:rsidP="003D4516">
      <w:pPr>
        <w:keepNext/>
        <w:keepLines/>
        <w:spacing w:before="240" w:after="120" w:line="240" w:lineRule="auto"/>
        <w:contextualSpacing/>
        <w:jc w:val="center"/>
        <w:rPr>
          <w:rFonts w:ascii="Arial" w:eastAsia="Times New Roman" w:hAnsi="Arial" w:cs="Arial"/>
          <w:b/>
          <w:bCs/>
          <w:color w:val="44546A"/>
          <w:u w:val="single"/>
          <w:lang w:val="en-GB"/>
        </w:rPr>
      </w:pPr>
      <w:r w:rsidRPr="00137FA2">
        <w:rPr>
          <w:rFonts w:ascii="Arial" w:eastAsia="Times New Roman" w:hAnsi="Arial" w:cs="Arial"/>
          <w:b/>
          <w:bCs/>
          <w:color w:val="44546A"/>
          <w:u w:val="single"/>
          <w:lang w:val="en-GB"/>
        </w:rPr>
        <w:t xml:space="preserve">Revenue Sharing Mechanism Agreement for </w:t>
      </w:r>
    </w:p>
    <w:p w14:paraId="529E8BB4" w14:textId="77777777" w:rsidR="003D4516" w:rsidRPr="00137FA2" w:rsidRDefault="003D4516" w:rsidP="003D4516">
      <w:pPr>
        <w:keepNext/>
        <w:keepLines/>
        <w:spacing w:before="240" w:after="120" w:line="240" w:lineRule="auto"/>
        <w:contextualSpacing/>
        <w:jc w:val="center"/>
        <w:rPr>
          <w:rFonts w:ascii="Arial" w:eastAsia="Times New Roman" w:hAnsi="Arial" w:cs="Arial"/>
          <w:b/>
          <w:bCs/>
          <w:color w:val="44546A"/>
          <w:u w:val="single"/>
          <w:lang w:val="en-GB"/>
        </w:rPr>
      </w:pPr>
      <w:r w:rsidRPr="00137FA2">
        <w:rPr>
          <w:rFonts w:ascii="Arial" w:eastAsia="Times New Roman" w:hAnsi="Arial" w:cs="Arial"/>
          <w:b/>
          <w:bCs/>
          <w:color w:val="44546A"/>
          <w:u w:val="single"/>
          <w:lang w:val="en-GB"/>
        </w:rPr>
        <w:t xml:space="preserve">financial return of EIT Food projects </w:t>
      </w:r>
    </w:p>
    <w:p w14:paraId="276267F6" w14:textId="77777777" w:rsidR="003D4516" w:rsidRPr="00137FA2" w:rsidRDefault="003D4516" w:rsidP="003D4516">
      <w:pPr>
        <w:jc w:val="center"/>
        <w:rPr>
          <w:sz w:val="32"/>
          <w:szCs w:val="32"/>
          <w:lang w:val="en-GB"/>
        </w:rPr>
      </w:pPr>
      <w:r w:rsidRPr="00137FA2">
        <w:rPr>
          <w:sz w:val="32"/>
          <w:szCs w:val="32"/>
          <w:lang w:val="en-GB"/>
        </w:rPr>
        <w:t>DRAFT (Subject for changes)</w:t>
      </w:r>
    </w:p>
    <w:p w14:paraId="053B0D9B" w14:textId="77777777" w:rsidR="003D4516" w:rsidRDefault="003D4516" w:rsidP="003D4516">
      <w:pPr>
        <w:rPr>
          <w:lang w:val="en-GB"/>
        </w:rPr>
      </w:pPr>
    </w:p>
    <w:p w14:paraId="4585A07E" w14:textId="77777777" w:rsidR="003D4516" w:rsidRPr="002452C6" w:rsidRDefault="003D4516" w:rsidP="003D4516">
      <w:pPr>
        <w:rPr>
          <w:lang w:val="en-GB"/>
        </w:rPr>
      </w:pPr>
    </w:p>
    <w:p w14:paraId="326AC98E" w14:textId="77777777" w:rsidR="003D4516" w:rsidRPr="00904C14" w:rsidRDefault="003D4516" w:rsidP="003D4516">
      <w:pPr>
        <w:rPr>
          <w:lang w:val="en-GB"/>
        </w:rPr>
      </w:pPr>
    </w:p>
    <w:p w14:paraId="45C326E0" w14:textId="77777777" w:rsidR="003D4516" w:rsidRDefault="003D4516" w:rsidP="003D4516">
      <w:pPr>
        <w:spacing w:after="0" w:line="240" w:lineRule="auto"/>
        <w:rPr>
          <w:rFonts w:ascii="Arial" w:hAnsi="Arial" w:cs="Arial"/>
          <w:lang w:val="en-GB"/>
        </w:rPr>
      </w:pPr>
      <w:r>
        <w:rPr>
          <w:rFonts w:ascii="Arial" w:hAnsi="Arial" w:cs="Arial"/>
          <w:lang w:val="en-GB"/>
        </w:rPr>
        <w:br w:type="page"/>
      </w:r>
    </w:p>
    <w:p w14:paraId="6AB7347E" w14:textId="77777777" w:rsidR="003D4516" w:rsidRPr="00930D0E" w:rsidRDefault="003D4516" w:rsidP="003D4516">
      <w:pPr>
        <w:spacing w:after="200" w:line="276" w:lineRule="auto"/>
        <w:jc w:val="both"/>
        <w:rPr>
          <w:rFonts w:ascii="Arial" w:hAnsi="Arial" w:cs="Arial"/>
          <w:lang w:val="en-GB"/>
        </w:rPr>
      </w:pPr>
      <w:r w:rsidRPr="00A509F8">
        <w:rPr>
          <w:rFonts w:ascii="Arial" w:hAnsi="Arial" w:cs="Arial"/>
          <w:lang w:val="en-GB"/>
        </w:rPr>
        <w:lastRenderedPageBreak/>
        <w:t xml:space="preserve">This specific project agreement for financial return mechanism of </w:t>
      </w:r>
      <w:r>
        <w:rPr>
          <w:rFonts w:ascii="Arial" w:hAnsi="Arial" w:cs="Arial"/>
          <w:lang w:val="en-GB"/>
        </w:rPr>
        <w:t xml:space="preserve">EIT </w:t>
      </w:r>
      <w:r w:rsidRPr="00137FA2">
        <w:rPr>
          <w:rFonts w:ascii="Arial" w:hAnsi="Arial" w:cs="Arial"/>
          <w:lang w:val="en-GB"/>
        </w:rPr>
        <w:t xml:space="preserve">Food </w:t>
      </w:r>
      <w:r w:rsidRPr="00585590">
        <w:rPr>
          <w:rFonts w:ascii="Arial" w:hAnsi="Arial" w:cs="Arial"/>
          <w:lang w:val="en-GB"/>
        </w:rPr>
        <w:t>[Innovation, Education, Business Creation]</w:t>
      </w:r>
      <w:r w:rsidRPr="00A509F8">
        <w:rPr>
          <w:rFonts w:ascii="Arial" w:hAnsi="Arial" w:cs="Arial"/>
          <w:lang w:val="en-GB"/>
        </w:rPr>
        <w:t xml:space="preserve"> projects, hereinafter the “Agreement” is </w:t>
      </w:r>
      <w:r w:rsidRPr="00A509F8">
        <w:rPr>
          <w:rFonts w:ascii="Arial" w:hAnsi="Arial" w:cs="Arial"/>
          <w:color w:val="000000"/>
          <w:lang w:val="en-GB"/>
        </w:rPr>
        <w:t>effective</w:t>
      </w:r>
      <w:r>
        <w:rPr>
          <w:rFonts w:ascii="Arial" w:hAnsi="Arial" w:cs="Arial"/>
          <w:color w:val="000000"/>
          <w:lang w:val="en-GB"/>
        </w:rPr>
        <w:t xml:space="preserve"> </w:t>
      </w:r>
      <w:r w:rsidRPr="00A509F8">
        <w:rPr>
          <w:rFonts w:ascii="Arial" w:hAnsi="Arial" w:cs="Arial"/>
          <w:color w:val="000000"/>
          <w:lang w:val="en-GB"/>
        </w:rPr>
        <w:t>from</w:t>
      </w:r>
      <w:r>
        <w:rPr>
          <w:rFonts w:ascii="Arial" w:hAnsi="Arial" w:cs="Arial"/>
          <w:color w:val="000000"/>
          <w:lang w:val="en-GB"/>
        </w:rPr>
        <w:t xml:space="preserve"> </w:t>
      </w:r>
      <w:r w:rsidRPr="00A509F8">
        <w:rPr>
          <w:rFonts w:ascii="Arial" w:hAnsi="Arial" w:cs="Arial"/>
          <w:color w:val="000000"/>
          <w:lang w:val="en-GB"/>
        </w:rPr>
        <w:t>1</w:t>
      </w:r>
      <w:r>
        <w:rPr>
          <w:rFonts w:ascii="Arial" w:hAnsi="Arial" w:cs="Arial"/>
          <w:color w:val="000000"/>
          <w:lang w:val="en-GB"/>
        </w:rPr>
        <w:t>st</w:t>
      </w:r>
      <w:r w:rsidRPr="00A509F8">
        <w:rPr>
          <w:rFonts w:ascii="Arial" w:hAnsi="Arial" w:cs="Arial"/>
          <w:color w:val="000000"/>
          <w:lang w:val="en-GB"/>
        </w:rPr>
        <w:t xml:space="preserve"> </w:t>
      </w:r>
      <w:r w:rsidRPr="00930D0E">
        <w:rPr>
          <w:rFonts w:ascii="Arial" w:hAnsi="Arial" w:cs="Arial"/>
          <w:color w:val="000000"/>
          <w:lang w:val="en-GB"/>
        </w:rPr>
        <w:t>January 20</w:t>
      </w:r>
      <w:r>
        <w:rPr>
          <w:rFonts w:ascii="Arial" w:hAnsi="Arial" w:cs="Arial"/>
          <w:color w:val="000000"/>
          <w:lang w:val="en-GB"/>
        </w:rPr>
        <w:t>22</w:t>
      </w:r>
      <w:r w:rsidRPr="001B0E36">
        <w:rPr>
          <w:rFonts w:ascii="Arial" w:hAnsi="Arial" w:cs="Arial"/>
          <w:color w:val="000000"/>
          <w:lang w:val="en-GB"/>
        </w:rPr>
        <w:t xml:space="preserve"> and is entered into by and betwe</w:t>
      </w:r>
      <w:r w:rsidRPr="00930D0E">
        <w:rPr>
          <w:rFonts w:ascii="Arial" w:hAnsi="Arial" w:cs="Arial"/>
          <w:color w:val="000000"/>
          <w:lang w:val="en-GB"/>
        </w:rPr>
        <w:t>en</w:t>
      </w:r>
    </w:p>
    <w:p w14:paraId="1165ACCE" w14:textId="77777777" w:rsidR="003D4516" w:rsidRPr="00930D0E" w:rsidRDefault="003D4516" w:rsidP="003D4516">
      <w:pPr>
        <w:pStyle w:val="Revision"/>
        <w:jc w:val="both"/>
        <w:rPr>
          <w:b w:val="0"/>
          <w:color w:val="000000"/>
          <w:sz w:val="22"/>
          <w:szCs w:val="22"/>
        </w:rPr>
      </w:pPr>
    </w:p>
    <w:p w14:paraId="04A304F3" w14:textId="77777777" w:rsidR="003D4516" w:rsidRPr="00930D0E" w:rsidRDefault="003D4516" w:rsidP="003D4516">
      <w:pPr>
        <w:pStyle w:val="Revision"/>
        <w:jc w:val="both"/>
        <w:rPr>
          <w:b w:val="0"/>
          <w:color w:val="000000"/>
          <w:sz w:val="22"/>
          <w:szCs w:val="22"/>
        </w:rPr>
      </w:pPr>
      <w:r w:rsidRPr="00930D0E">
        <w:rPr>
          <w:b w:val="0"/>
          <w:color w:val="000000"/>
          <w:sz w:val="22"/>
          <w:szCs w:val="22"/>
        </w:rPr>
        <w:t xml:space="preserve">EIT Food IVZW, </w:t>
      </w:r>
      <w:bookmarkStart w:id="1" w:name="_Hlk55233174"/>
      <w:r w:rsidRPr="00930D0E">
        <w:rPr>
          <w:b w:val="0"/>
          <w:color w:val="000000"/>
          <w:sz w:val="22"/>
          <w:szCs w:val="22"/>
        </w:rPr>
        <w:t xml:space="preserve">having its registered office at </w:t>
      </w:r>
      <w:bookmarkEnd w:id="1"/>
      <w:proofErr w:type="spellStart"/>
      <w:r w:rsidRPr="00930D0E">
        <w:rPr>
          <w:b w:val="0"/>
          <w:color w:val="000000"/>
          <w:sz w:val="22"/>
          <w:szCs w:val="22"/>
        </w:rPr>
        <w:t>Philipssite</w:t>
      </w:r>
      <w:proofErr w:type="spellEnd"/>
      <w:r w:rsidRPr="00930D0E">
        <w:rPr>
          <w:b w:val="0"/>
          <w:color w:val="000000"/>
          <w:sz w:val="22"/>
          <w:szCs w:val="22"/>
        </w:rPr>
        <w:t xml:space="preserve"> 5 bus 34, 3001 Leuven (Belgium), hereinafter referred to as the “KIC LE</w:t>
      </w:r>
      <w:proofErr w:type="gramStart"/>
      <w:r w:rsidRPr="00930D0E">
        <w:rPr>
          <w:b w:val="0"/>
          <w:color w:val="000000"/>
          <w:sz w:val="22"/>
          <w:szCs w:val="22"/>
        </w:rPr>
        <w:t>”</w:t>
      </w:r>
      <w:r>
        <w:rPr>
          <w:b w:val="0"/>
          <w:color w:val="000000"/>
          <w:sz w:val="22"/>
          <w:szCs w:val="22"/>
        </w:rPr>
        <w:t>;</w:t>
      </w:r>
      <w:proofErr w:type="gramEnd"/>
    </w:p>
    <w:p w14:paraId="7D0194E6" w14:textId="77777777" w:rsidR="003D4516" w:rsidRPr="00930D0E" w:rsidRDefault="003D4516" w:rsidP="003D4516">
      <w:pPr>
        <w:jc w:val="both"/>
        <w:rPr>
          <w:rFonts w:ascii="Arial" w:hAnsi="Arial" w:cs="Arial"/>
          <w:lang w:val="en-GB"/>
        </w:rPr>
      </w:pPr>
    </w:p>
    <w:p w14:paraId="40BA255B" w14:textId="77777777" w:rsidR="003D4516" w:rsidRPr="00930D0E" w:rsidRDefault="003D4516" w:rsidP="003D4516">
      <w:pPr>
        <w:jc w:val="both"/>
        <w:rPr>
          <w:rFonts w:ascii="Arial" w:hAnsi="Arial" w:cs="Arial"/>
          <w:lang w:val="en-GB"/>
        </w:rPr>
      </w:pPr>
      <w:r w:rsidRPr="00930D0E">
        <w:rPr>
          <w:rFonts w:ascii="Arial" w:hAnsi="Arial" w:cs="Arial"/>
          <w:lang w:val="en-GB"/>
        </w:rPr>
        <w:t>And</w:t>
      </w:r>
    </w:p>
    <w:p w14:paraId="4037D9D1" w14:textId="77777777" w:rsidR="003D4516" w:rsidRPr="00930D0E" w:rsidRDefault="003D4516" w:rsidP="003D4516">
      <w:pPr>
        <w:jc w:val="both"/>
        <w:rPr>
          <w:rFonts w:ascii="Arial" w:hAnsi="Arial" w:cs="Arial"/>
          <w:lang w:val="en-GB"/>
        </w:rPr>
      </w:pPr>
    </w:p>
    <w:p w14:paraId="39AC04E3" w14:textId="77777777" w:rsidR="003D4516" w:rsidRPr="00F553DB" w:rsidRDefault="003D4516" w:rsidP="003D4516">
      <w:pPr>
        <w:jc w:val="both"/>
        <w:rPr>
          <w:rFonts w:ascii="Arial" w:hAnsi="Arial" w:cs="Arial"/>
          <w:lang w:val="en-GB"/>
        </w:rPr>
      </w:pPr>
      <w:r w:rsidRPr="00137FA2">
        <w:t xml:space="preserve"> </w:t>
      </w:r>
      <w:r w:rsidRPr="00585590">
        <w:rPr>
          <w:rFonts w:ascii="Arial" w:hAnsi="Arial" w:cs="Arial"/>
          <w:lang w:val="en-GB"/>
        </w:rPr>
        <w:t>____________</w:t>
      </w:r>
      <w:r>
        <w:rPr>
          <w:rFonts w:ascii="Arial" w:hAnsi="Arial" w:cs="Arial"/>
          <w:b/>
          <w:bCs/>
          <w:lang w:val="en-GB"/>
        </w:rPr>
        <w:t xml:space="preserve"> </w:t>
      </w:r>
      <w:r w:rsidRPr="00767F35">
        <w:rPr>
          <w:rFonts w:ascii="Arial" w:hAnsi="Arial" w:cs="Arial"/>
          <w:lang w:val="en-GB"/>
        </w:rPr>
        <w:t>having its registered office at</w:t>
      </w:r>
      <w:r>
        <w:rPr>
          <w:rFonts w:ascii="Arial" w:hAnsi="Arial" w:cs="Arial"/>
          <w:lang w:val="en-GB"/>
        </w:rPr>
        <w:t xml:space="preserve"> </w:t>
      </w:r>
      <w:r w:rsidRPr="00767F35">
        <w:rPr>
          <w:rFonts w:ascii="Arial" w:hAnsi="Arial" w:cs="Arial"/>
          <w:lang w:val="en-GB"/>
        </w:rPr>
        <w:t>______</w:t>
      </w:r>
      <w:r>
        <w:rPr>
          <w:rFonts w:ascii="Arial" w:hAnsi="Arial" w:cs="Arial"/>
          <w:lang w:val="en-GB"/>
        </w:rPr>
        <w:t>_____</w:t>
      </w:r>
      <w:r w:rsidRPr="00767F35">
        <w:rPr>
          <w:rFonts w:ascii="Arial" w:hAnsi="Arial" w:cs="Arial"/>
          <w:lang w:val="en-GB"/>
        </w:rPr>
        <w:t xml:space="preserve"> and company</w:t>
      </w:r>
      <w:r>
        <w:rPr>
          <w:rFonts w:ascii="Arial" w:hAnsi="Arial" w:cs="Arial"/>
          <w:lang w:val="en-GB"/>
        </w:rPr>
        <w:t xml:space="preserve"> number (VAT)</w:t>
      </w:r>
      <w:r w:rsidRPr="001B0E36">
        <w:rPr>
          <w:rFonts w:ascii="Arial" w:hAnsi="Arial" w:cs="Arial"/>
          <w:lang w:val="en-GB"/>
        </w:rPr>
        <w:t xml:space="preserve">, hereinafter referred to as” </w:t>
      </w:r>
      <w:r w:rsidRPr="00930D0E">
        <w:rPr>
          <w:rFonts w:ascii="Arial" w:hAnsi="Arial" w:cs="Arial"/>
          <w:lang w:val="en-GB"/>
        </w:rPr>
        <w:t>Exploiting Party</w:t>
      </w:r>
      <w:r w:rsidRPr="001B0E36">
        <w:rPr>
          <w:rFonts w:ascii="Arial" w:hAnsi="Arial" w:cs="Arial"/>
          <w:lang w:val="en-GB"/>
        </w:rPr>
        <w:t>”, acting on its own behalf and on behalf of the othe</w:t>
      </w:r>
      <w:r w:rsidRPr="00930D0E">
        <w:rPr>
          <w:rFonts w:ascii="Arial" w:hAnsi="Arial" w:cs="Arial"/>
          <w:lang w:val="en-GB"/>
        </w:rPr>
        <w:t>r EIT Food Partners</w:t>
      </w:r>
      <w:r>
        <w:rPr>
          <w:rFonts w:ascii="Arial" w:hAnsi="Arial" w:cs="Arial"/>
          <w:lang w:val="en-GB"/>
        </w:rPr>
        <w:t xml:space="preserve"> (hereinafter collectively referred to as “EIT Food Partners”)</w:t>
      </w:r>
      <w:r w:rsidRPr="00930D0E">
        <w:rPr>
          <w:rFonts w:ascii="Arial" w:hAnsi="Arial" w:cs="Arial"/>
          <w:lang w:val="en-GB"/>
        </w:rPr>
        <w:t xml:space="preserve"> in the KAVA</w:t>
      </w:r>
      <w:bookmarkStart w:id="2" w:name="_Hlk55233271"/>
      <w:r>
        <w:rPr>
          <w:rFonts w:ascii="Arial" w:hAnsi="Arial" w:cs="Arial"/>
          <w:lang w:val="en-GB"/>
        </w:rPr>
        <w:t xml:space="preserve"> “___________</w:t>
      </w:r>
      <w:proofErr w:type="gramStart"/>
      <w:r>
        <w:rPr>
          <w:rFonts w:ascii="Arial" w:hAnsi="Arial" w:cs="Arial"/>
          <w:lang w:val="en-GB"/>
        </w:rPr>
        <w:t xml:space="preserve">” </w:t>
      </w:r>
      <w:bookmarkEnd w:id="2"/>
      <w:r>
        <w:rPr>
          <w:rFonts w:ascii="Arial" w:hAnsi="Arial" w:cs="Arial"/>
          <w:lang w:val="en-GB"/>
        </w:rPr>
        <w:t>;</w:t>
      </w:r>
      <w:proofErr w:type="gramEnd"/>
    </w:p>
    <w:p w14:paraId="174449C4" w14:textId="77777777" w:rsidR="003D4516" w:rsidRPr="00F553DB" w:rsidRDefault="003D4516" w:rsidP="003D4516">
      <w:pPr>
        <w:tabs>
          <w:tab w:val="left" w:pos="6720"/>
        </w:tabs>
        <w:jc w:val="both"/>
        <w:rPr>
          <w:rFonts w:ascii="Arial" w:hAnsi="Arial" w:cs="Arial"/>
          <w:lang w:val="en-GB"/>
        </w:rPr>
      </w:pPr>
    </w:p>
    <w:p w14:paraId="31CE9AC1" w14:textId="77777777" w:rsidR="003D4516" w:rsidRPr="00F553DB" w:rsidRDefault="003D4516" w:rsidP="003D4516">
      <w:pPr>
        <w:pStyle w:val="Revision"/>
        <w:jc w:val="both"/>
        <w:rPr>
          <w:color w:val="000000"/>
          <w:sz w:val="22"/>
          <w:szCs w:val="22"/>
        </w:rPr>
      </w:pPr>
    </w:p>
    <w:p w14:paraId="5E139A94" w14:textId="77777777" w:rsidR="003D4516" w:rsidRPr="00F553DB" w:rsidRDefault="003D4516" w:rsidP="003D4516">
      <w:pPr>
        <w:pStyle w:val="Revision"/>
        <w:jc w:val="both"/>
        <w:rPr>
          <w:color w:val="000000"/>
          <w:sz w:val="22"/>
          <w:szCs w:val="22"/>
        </w:rPr>
      </w:pPr>
    </w:p>
    <w:p w14:paraId="311E1002" w14:textId="77777777" w:rsidR="003D4516" w:rsidRDefault="003D4516" w:rsidP="003D4516">
      <w:pPr>
        <w:pStyle w:val="Revision"/>
        <w:jc w:val="both"/>
        <w:rPr>
          <w:color w:val="000000"/>
          <w:sz w:val="22"/>
          <w:szCs w:val="22"/>
        </w:rPr>
      </w:pPr>
      <w:bookmarkStart w:id="3" w:name="_Hlk72331513"/>
      <w:r w:rsidRPr="00F553DB">
        <w:rPr>
          <w:color w:val="000000"/>
          <w:sz w:val="22"/>
          <w:szCs w:val="22"/>
        </w:rPr>
        <w:t>WHEREAS:</w:t>
      </w:r>
    </w:p>
    <w:p w14:paraId="6958FA4F" w14:textId="77777777" w:rsidR="003D4516" w:rsidRPr="00F553DB" w:rsidRDefault="003D4516" w:rsidP="003D4516">
      <w:pPr>
        <w:pStyle w:val="Revision"/>
        <w:jc w:val="both"/>
        <w:rPr>
          <w:color w:val="000000"/>
          <w:sz w:val="22"/>
          <w:szCs w:val="22"/>
        </w:rPr>
      </w:pPr>
    </w:p>
    <w:p w14:paraId="1587A3E2" w14:textId="77777777" w:rsidR="003D4516" w:rsidRPr="00F553DB" w:rsidRDefault="003D4516" w:rsidP="003D4516">
      <w:pPr>
        <w:pStyle w:val="Revision"/>
        <w:jc w:val="both"/>
        <w:rPr>
          <w:b w:val="0"/>
          <w:color w:val="000000"/>
          <w:sz w:val="22"/>
          <w:szCs w:val="22"/>
        </w:rPr>
      </w:pPr>
      <w:r w:rsidRPr="00F553DB">
        <w:rPr>
          <w:b w:val="0"/>
          <w:color w:val="000000"/>
          <w:sz w:val="22"/>
          <w:szCs w:val="22"/>
        </w:rPr>
        <w:t>The KIC LE has entered into the Partnership Agreement (“PA”) with the European Institute of Innovation and Technology (“EIT”) with the effective date of 01/01/20</w:t>
      </w:r>
      <w:r>
        <w:rPr>
          <w:b w:val="0"/>
          <w:color w:val="000000"/>
          <w:sz w:val="22"/>
          <w:szCs w:val="22"/>
        </w:rPr>
        <w:t>21</w:t>
      </w:r>
      <w:r w:rsidRPr="00F553DB">
        <w:rPr>
          <w:b w:val="0"/>
          <w:color w:val="000000"/>
          <w:sz w:val="22"/>
          <w:szCs w:val="22"/>
        </w:rPr>
        <w:t>establishing a long</w:t>
      </w:r>
      <w:r>
        <w:rPr>
          <w:b w:val="0"/>
          <w:color w:val="000000"/>
          <w:sz w:val="22"/>
          <w:szCs w:val="22"/>
        </w:rPr>
        <w:t>-</w:t>
      </w:r>
      <w:r w:rsidRPr="00F553DB">
        <w:rPr>
          <w:b w:val="0"/>
          <w:color w:val="000000"/>
          <w:sz w:val="22"/>
          <w:szCs w:val="22"/>
        </w:rPr>
        <w:t>term cooperation ('framework partnership), and setting out its terms and conditions and the general terms and conditions and rights and obligations applicable to the specific grants that may be awarded by the EIT for specific actions under the framework partnership:</w:t>
      </w:r>
    </w:p>
    <w:p w14:paraId="0FA6E042" w14:textId="77777777" w:rsidR="003D4516" w:rsidRPr="00F553DB" w:rsidRDefault="003D4516" w:rsidP="003D4516">
      <w:pPr>
        <w:pStyle w:val="Revision"/>
        <w:jc w:val="both"/>
        <w:rPr>
          <w:b w:val="0"/>
          <w:color w:val="000000"/>
          <w:sz w:val="22"/>
          <w:szCs w:val="22"/>
        </w:rPr>
      </w:pPr>
    </w:p>
    <w:p w14:paraId="0FF5FE93" w14:textId="77777777" w:rsidR="003D4516" w:rsidRPr="00F553DB" w:rsidRDefault="003D4516" w:rsidP="003D4516">
      <w:pPr>
        <w:pStyle w:val="Revision"/>
        <w:jc w:val="both"/>
        <w:rPr>
          <w:b w:val="0"/>
          <w:color w:val="000000"/>
          <w:sz w:val="22"/>
          <w:szCs w:val="22"/>
        </w:rPr>
      </w:pPr>
      <w:r w:rsidRPr="00F553DB">
        <w:rPr>
          <w:b w:val="0"/>
          <w:color w:val="000000"/>
          <w:sz w:val="22"/>
          <w:szCs w:val="22"/>
        </w:rPr>
        <w:t xml:space="preserve">The KIC LE has entered into the </w:t>
      </w:r>
      <w:r>
        <w:rPr>
          <w:b w:val="0"/>
          <w:color w:val="000000"/>
          <w:sz w:val="22"/>
          <w:szCs w:val="22"/>
        </w:rPr>
        <w:t>Model</w:t>
      </w:r>
      <w:r w:rsidRPr="00F553DB">
        <w:rPr>
          <w:b w:val="0"/>
          <w:color w:val="000000"/>
          <w:sz w:val="22"/>
          <w:szCs w:val="22"/>
        </w:rPr>
        <w:t xml:space="preserve"> Grant Agreement (“</w:t>
      </w:r>
      <w:r>
        <w:rPr>
          <w:b w:val="0"/>
          <w:color w:val="000000"/>
          <w:sz w:val="22"/>
          <w:szCs w:val="22"/>
        </w:rPr>
        <w:t>M</w:t>
      </w:r>
      <w:r w:rsidRPr="00F553DB">
        <w:rPr>
          <w:b w:val="0"/>
          <w:color w:val="000000"/>
          <w:sz w:val="22"/>
          <w:szCs w:val="22"/>
        </w:rPr>
        <w:t xml:space="preserve">GA”) with </w:t>
      </w:r>
      <w:proofErr w:type="gramStart"/>
      <w:r w:rsidRPr="00F553DB">
        <w:rPr>
          <w:b w:val="0"/>
          <w:color w:val="000000"/>
          <w:sz w:val="22"/>
          <w:szCs w:val="22"/>
        </w:rPr>
        <w:t>EIT;</w:t>
      </w:r>
      <w:proofErr w:type="gramEnd"/>
    </w:p>
    <w:p w14:paraId="6B340286" w14:textId="77777777" w:rsidR="003D4516" w:rsidRPr="00F553DB" w:rsidRDefault="003D4516" w:rsidP="003D4516">
      <w:pPr>
        <w:pStyle w:val="Revision"/>
        <w:jc w:val="both"/>
        <w:rPr>
          <w:b w:val="0"/>
          <w:color w:val="000000"/>
          <w:sz w:val="22"/>
          <w:szCs w:val="22"/>
        </w:rPr>
      </w:pPr>
    </w:p>
    <w:p w14:paraId="4551C691" w14:textId="77777777" w:rsidR="003D4516" w:rsidRPr="00F553DB" w:rsidRDefault="003D4516" w:rsidP="003D4516">
      <w:pPr>
        <w:pStyle w:val="Revision"/>
        <w:jc w:val="both"/>
        <w:rPr>
          <w:b w:val="0"/>
          <w:color w:val="000000"/>
          <w:sz w:val="22"/>
          <w:szCs w:val="22"/>
        </w:rPr>
      </w:pPr>
      <w:r w:rsidRPr="00F553DB">
        <w:rPr>
          <w:b w:val="0"/>
          <w:color w:val="000000"/>
          <w:sz w:val="22"/>
          <w:szCs w:val="22"/>
        </w:rPr>
        <w:t xml:space="preserve">The EIT has awarded a Specific Grant to the KIC EIT Food in accordance with and subject to the terms and conditions of the PA and </w:t>
      </w:r>
      <w:r>
        <w:rPr>
          <w:b w:val="0"/>
          <w:color w:val="000000"/>
          <w:sz w:val="22"/>
          <w:szCs w:val="22"/>
        </w:rPr>
        <w:t>M</w:t>
      </w:r>
      <w:r w:rsidRPr="00F553DB">
        <w:rPr>
          <w:b w:val="0"/>
          <w:color w:val="000000"/>
          <w:sz w:val="22"/>
          <w:szCs w:val="22"/>
        </w:rPr>
        <w:t>GA</w:t>
      </w:r>
      <w:r>
        <w:rPr>
          <w:b w:val="0"/>
          <w:color w:val="000000"/>
          <w:sz w:val="22"/>
          <w:szCs w:val="22"/>
        </w:rPr>
        <w:t>.</w:t>
      </w:r>
    </w:p>
    <w:p w14:paraId="6D3B7420" w14:textId="77777777" w:rsidR="003D4516" w:rsidRPr="00F553DB" w:rsidRDefault="003D4516" w:rsidP="003D4516">
      <w:pPr>
        <w:pStyle w:val="Revision"/>
        <w:jc w:val="both"/>
        <w:rPr>
          <w:b w:val="0"/>
          <w:color w:val="000000"/>
          <w:sz w:val="22"/>
          <w:szCs w:val="22"/>
        </w:rPr>
      </w:pPr>
    </w:p>
    <w:p w14:paraId="1CE2EC75" w14:textId="77777777" w:rsidR="003D4516" w:rsidRDefault="003D4516" w:rsidP="003D4516">
      <w:pPr>
        <w:pStyle w:val="Revision"/>
        <w:jc w:val="both"/>
        <w:rPr>
          <w:b w:val="0"/>
          <w:color w:val="000000"/>
          <w:sz w:val="22"/>
          <w:szCs w:val="22"/>
        </w:rPr>
      </w:pPr>
      <w:r w:rsidRPr="00F553DB">
        <w:rPr>
          <w:b w:val="0"/>
          <w:color w:val="000000"/>
          <w:sz w:val="22"/>
          <w:szCs w:val="22"/>
        </w:rPr>
        <w:t>The EIT Food Partner</w:t>
      </w:r>
      <w:r>
        <w:rPr>
          <w:b w:val="0"/>
          <w:color w:val="000000"/>
          <w:sz w:val="22"/>
          <w:szCs w:val="22"/>
        </w:rPr>
        <w:t>s</w:t>
      </w:r>
      <w:r w:rsidRPr="00F553DB">
        <w:rPr>
          <w:b w:val="0"/>
          <w:color w:val="000000"/>
          <w:sz w:val="22"/>
          <w:szCs w:val="22"/>
        </w:rPr>
        <w:t xml:space="preserve"> ha</w:t>
      </w:r>
      <w:r>
        <w:rPr>
          <w:b w:val="0"/>
          <w:color w:val="000000"/>
          <w:sz w:val="22"/>
          <w:szCs w:val="22"/>
        </w:rPr>
        <w:t>ve</w:t>
      </w:r>
      <w:r w:rsidRPr="00F553DB">
        <w:rPr>
          <w:b w:val="0"/>
          <w:color w:val="000000"/>
          <w:sz w:val="22"/>
          <w:szCs w:val="22"/>
        </w:rPr>
        <w:t xml:space="preserve"> acceded to the </w:t>
      </w:r>
      <w:r>
        <w:rPr>
          <w:b w:val="0"/>
          <w:color w:val="000000"/>
          <w:sz w:val="22"/>
          <w:szCs w:val="22"/>
        </w:rPr>
        <w:t>M</w:t>
      </w:r>
      <w:r w:rsidRPr="00F553DB">
        <w:rPr>
          <w:b w:val="0"/>
          <w:color w:val="000000"/>
          <w:sz w:val="22"/>
          <w:szCs w:val="22"/>
        </w:rPr>
        <w:t xml:space="preserve">GA by their signature of the Accession Form, as provided for in Article </w:t>
      </w:r>
      <w:r>
        <w:rPr>
          <w:b w:val="0"/>
          <w:color w:val="000000"/>
          <w:sz w:val="22"/>
          <w:szCs w:val="22"/>
        </w:rPr>
        <w:t xml:space="preserve">40 </w:t>
      </w:r>
      <w:r w:rsidRPr="00F553DB">
        <w:rPr>
          <w:b w:val="0"/>
          <w:color w:val="000000"/>
          <w:sz w:val="22"/>
          <w:szCs w:val="22"/>
        </w:rPr>
        <w:t xml:space="preserve">and Annex </w:t>
      </w:r>
      <w:r>
        <w:rPr>
          <w:b w:val="0"/>
          <w:color w:val="000000"/>
          <w:sz w:val="22"/>
          <w:szCs w:val="22"/>
        </w:rPr>
        <w:t>3</w:t>
      </w:r>
      <w:r w:rsidRPr="00F553DB">
        <w:rPr>
          <w:b w:val="0"/>
          <w:color w:val="000000"/>
          <w:sz w:val="22"/>
          <w:szCs w:val="22"/>
        </w:rPr>
        <w:t xml:space="preserve"> to the </w:t>
      </w:r>
      <w:r>
        <w:rPr>
          <w:b w:val="0"/>
          <w:color w:val="000000"/>
          <w:sz w:val="22"/>
          <w:szCs w:val="22"/>
        </w:rPr>
        <w:t>MGA.</w:t>
      </w:r>
    </w:p>
    <w:p w14:paraId="48960FA8" w14:textId="77777777" w:rsidR="003D4516" w:rsidRDefault="003D4516" w:rsidP="003D4516">
      <w:pPr>
        <w:pStyle w:val="Revision"/>
        <w:jc w:val="both"/>
        <w:rPr>
          <w:b w:val="0"/>
          <w:color w:val="000000"/>
          <w:sz w:val="22"/>
          <w:szCs w:val="22"/>
        </w:rPr>
      </w:pPr>
    </w:p>
    <w:p w14:paraId="3FE380FD" w14:textId="77777777" w:rsidR="003D4516" w:rsidRDefault="003D4516" w:rsidP="003D4516">
      <w:pPr>
        <w:pStyle w:val="Revision"/>
        <w:jc w:val="both"/>
        <w:rPr>
          <w:b w:val="0"/>
          <w:color w:val="000000"/>
          <w:sz w:val="22"/>
          <w:szCs w:val="22"/>
        </w:rPr>
      </w:pPr>
      <w:r>
        <w:rPr>
          <w:b w:val="0"/>
          <w:color w:val="000000"/>
          <w:sz w:val="22"/>
          <w:szCs w:val="22"/>
        </w:rPr>
        <w:t>The EIT Food Partners have submitted a proposal for the KAVA “_________________</w:t>
      </w:r>
      <w:proofErr w:type="gramStart"/>
      <w:r>
        <w:rPr>
          <w:b w:val="0"/>
          <w:color w:val="000000"/>
          <w:sz w:val="22"/>
          <w:szCs w:val="22"/>
        </w:rPr>
        <w:t>” ,</w:t>
      </w:r>
      <w:proofErr w:type="gramEnd"/>
      <w:r>
        <w:rPr>
          <w:b w:val="0"/>
          <w:color w:val="000000"/>
          <w:sz w:val="22"/>
          <w:szCs w:val="22"/>
        </w:rPr>
        <w:t xml:space="preserve"> which is approved and integrated in the Business Plan for the relevant year;</w:t>
      </w:r>
    </w:p>
    <w:p w14:paraId="15D84567" w14:textId="77777777" w:rsidR="003D4516" w:rsidRDefault="003D4516" w:rsidP="003D4516">
      <w:pPr>
        <w:pStyle w:val="Revision"/>
        <w:jc w:val="both"/>
        <w:rPr>
          <w:b w:val="0"/>
          <w:color w:val="000000"/>
          <w:sz w:val="22"/>
          <w:szCs w:val="22"/>
        </w:rPr>
      </w:pPr>
    </w:p>
    <w:p w14:paraId="24EB2B94" w14:textId="77777777" w:rsidR="003D4516" w:rsidRPr="00F553DB" w:rsidRDefault="003D4516" w:rsidP="003D4516">
      <w:pPr>
        <w:pStyle w:val="Revision"/>
        <w:jc w:val="both"/>
        <w:rPr>
          <w:b w:val="0"/>
          <w:color w:val="000000"/>
          <w:sz w:val="22"/>
          <w:szCs w:val="22"/>
        </w:rPr>
      </w:pPr>
    </w:p>
    <w:p w14:paraId="6CF39837" w14:textId="77777777" w:rsidR="003D4516" w:rsidRDefault="003D4516" w:rsidP="003D4516">
      <w:pPr>
        <w:pStyle w:val="Revision"/>
        <w:jc w:val="both"/>
        <w:rPr>
          <w:b w:val="0"/>
          <w:color w:val="000000"/>
          <w:sz w:val="22"/>
          <w:szCs w:val="22"/>
        </w:rPr>
      </w:pPr>
      <w:r>
        <w:rPr>
          <w:b w:val="0"/>
          <w:color w:val="000000"/>
          <w:sz w:val="22"/>
          <w:szCs w:val="22"/>
        </w:rPr>
        <w:t xml:space="preserve">Each </w:t>
      </w:r>
      <w:r w:rsidRPr="00F553DB">
        <w:rPr>
          <w:b w:val="0"/>
          <w:color w:val="000000"/>
          <w:sz w:val="22"/>
          <w:szCs w:val="22"/>
        </w:rPr>
        <w:t>EIT Food Partner</w:t>
      </w:r>
      <w:r>
        <w:rPr>
          <w:b w:val="0"/>
          <w:color w:val="000000"/>
          <w:sz w:val="22"/>
          <w:szCs w:val="22"/>
        </w:rPr>
        <w:t xml:space="preserve"> on its own behalf, </w:t>
      </w:r>
      <w:r w:rsidRPr="00F553DB">
        <w:rPr>
          <w:b w:val="0"/>
          <w:color w:val="000000"/>
          <w:sz w:val="22"/>
          <w:szCs w:val="22"/>
        </w:rPr>
        <w:t>has entered into the</w:t>
      </w:r>
      <w:r>
        <w:rPr>
          <w:b w:val="0"/>
          <w:color w:val="000000"/>
          <w:sz w:val="22"/>
          <w:szCs w:val="22"/>
        </w:rPr>
        <w:t xml:space="preserve"> bilateral</w:t>
      </w:r>
      <w:r w:rsidRPr="00F553DB">
        <w:rPr>
          <w:b w:val="0"/>
          <w:color w:val="000000"/>
          <w:sz w:val="22"/>
          <w:szCs w:val="22"/>
        </w:rPr>
        <w:t xml:space="preserve"> </w:t>
      </w:r>
      <w:r>
        <w:rPr>
          <w:b w:val="0"/>
          <w:color w:val="000000"/>
          <w:sz w:val="22"/>
          <w:szCs w:val="22"/>
        </w:rPr>
        <w:t>project agreement</w:t>
      </w:r>
      <w:r w:rsidRPr="00F553DB">
        <w:rPr>
          <w:b w:val="0"/>
          <w:color w:val="000000"/>
          <w:sz w:val="22"/>
          <w:szCs w:val="22"/>
        </w:rPr>
        <w:t xml:space="preserve"> (</w:t>
      </w:r>
      <w:r>
        <w:rPr>
          <w:b w:val="0"/>
          <w:color w:val="000000"/>
          <w:sz w:val="22"/>
          <w:szCs w:val="22"/>
        </w:rPr>
        <w:t>PGA</w:t>
      </w:r>
      <w:r w:rsidRPr="00F553DB">
        <w:rPr>
          <w:b w:val="0"/>
          <w:color w:val="000000"/>
          <w:sz w:val="22"/>
          <w:szCs w:val="22"/>
        </w:rPr>
        <w:t xml:space="preserve">) for its participation in the KAVA (KIC Added Value Activities) under the Business Plan of the KIC EIT Food for the relevant </w:t>
      </w:r>
      <w:proofErr w:type="gramStart"/>
      <w:r w:rsidRPr="00F553DB">
        <w:rPr>
          <w:b w:val="0"/>
          <w:color w:val="000000"/>
          <w:sz w:val="22"/>
          <w:szCs w:val="22"/>
        </w:rPr>
        <w:t>year</w:t>
      </w:r>
      <w:r>
        <w:rPr>
          <w:b w:val="0"/>
          <w:color w:val="000000"/>
          <w:sz w:val="22"/>
          <w:szCs w:val="22"/>
        </w:rPr>
        <w:t>;</w:t>
      </w:r>
      <w:proofErr w:type="gramEnd"/>
    </w:p>
    <w:p w14:paraId="582372CF" w14:textId="77777777" w:rsidR="003D4516" w:rsidRDefault="003D4516" w:rsidP="003D4516">
      <w:pPr>
        <w:pStyle w:val="Revision"/>
        <w:jc w:val="both"/>
        <w:rPr>
          <w:b w:val="0"/>
          <w:color w:val="000000"/>
          <w:sz w:val="22"/>
          <w:szCs w:val="22"/>
        </w:rPr>
      </w:pPr>
    </w:p>
    <w:p w14:paraId="62F860B7" w14:textId="77777777" w:rsidR="003D4516" w:rsidRDefault="003D4516" w:rsidP="003D4516">
      <w:pPr>
        <w:pStyle w:val="Revision"/>
        <w:jc w:val="both"/>
        <w:rPr>
          <w:b w:val="0"/>
          <w:color w:val="000000"/>
          <w:sz w:val="22"/>
          <w:szCs w:val="22"/>
        </w:rPr>
      </w:pPr>
    </w:p>
    <w:p w14:paraId="6DA32D6F" w14:textId="77777777" w:rsidR="003D4516" w:rsidRDefault="003D4516" w:rsidP="003D4516">
      <w:pPr>
        <w:pStyle w:val="Revision"/>
        <w:jc w:val="both"/>
        <w:rPr>
          <w:b w:val="0"/>
          <w:color w:val="000000"/>
          <w:sz w:val="22"/>
          <w:szCs w:val="22"/>
        </w:rPr>
      </w:pPr>
      <w:r>
        <w:rPr>
          <w:b w:val="0"/>
          <w:color w:val="000000"/>
          <w:sz w:val="22"/>
          <w:szCs w:val="22"/>
        </w:rPr>
        <w:t>The EIT Food Partners acknowledge that they had the choice to execute the sustainability mechanism included in the proposal submitted for the KAVA as accepted in the Business Plan following review and acceptance of this mechanism by KIC LE, or to opt for the signature of the present Agreement.</w:t>
      </w:r>
    </w:p>
    <w:p w14:paraId="2812FD2D" w14:textId="77777777" w:rsidR="003D4516" w:rsidRPr="00F553DB" w:rsidRDefault="003D4516" w:rsidP="003D4516">
      <w:pPr>
        <w:pStyle w:val="Revision"/>
        <w:jc w:val="both"/>
        <w:rPr>
          <w:b w:val="0"/>
          <w:color w:val="000000"/>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3D4516" w:rsidRPr="002452C6" w14:paraId="1737AE57" w14:textId="77777777" w:rsidTr="009C416B">
        <w:tc>
          <w:tcPr>
            <w:tcW w:w="9212" w:type="dxa"/>
            <w:shd w:val="clear" w:color="auto" w:fill="auto"/>
          </w:tcPr>
          <w:p w14:paraId="7B8778F1" w14:textId="77777777" w:rsidR="003D4516" w:rsidRPr="00CA681A" w:rsidRDefault="003D4516" w:rsidP="009C416B">
            <w:pPr>
              <w:autoSpaceDE w:val="0"/>
              <w:autoSpaceDN w:val="0"/>
              <w:adjustRightInd w:val="0"/>
              <w:spacing w:before="120" w:after="0" w:line="240" w:lineRule="auto"/>
              <w:rPr>
                <w:rFonts w:ascii="Arial" w:eastAsia="SimSun" w:hAnsi="Arial" w:cs="Arial"/>
                <w:color w:val="000000"/>
                <w:spacing w:val="-3"/>
                <w:lang w:val="en-US"/>
              </w:rPr>
            </w:pPr>
            <w:r w:rsidRPr="00F048F7">
              <w:rPr>
                <w:rFonts w:ascii="Arial" w:eastAsia="SimSun" w:hAnsi="Arial" w:cs="Arial"/>
                <w:color w:val="000000"/>
                <w:spacing w:val="-3"/>
                <w:lang w:val="en-GB" w:eastAsia="ar-SA"/>
              </w:rPr>
              <w:t>Clarification of the introduction of the Financial Sustain</w:t>
            </w:r>
            <w:r>
              <w:rPr>
                <w:rFonts w:ascii="Arial" w:eastAsia="SimSun" w:hAnsi="Arial" w:cs="Arial"/>
                <w:color w:val="000000"/>
                <w:spacing w:val="-3"/>
                <w:lang w:val="en-GB" w:eastAsia="ar-SA"/>
              </w:rPr>
              <w:t>a</w:t>
            </w:r>
            <w:r w:rsidRPr="00F048F7">
              <w:rPr>
                <w:rFonts w:ascii="Arial" w:eastAsia="SimSun" w:hAnsi="Arial" w:cs="Arial"/>
                <w:color w:val="000000"/>
                <w:spacing w:val="-3"/>
                <w:lang w:val="en-GB" w:eastAsia="ar-SA"/>
              </w:rPr>
              <w:t xml:space="preserve">bility mechanism: The reason for </w:t>
            </w:r>
            <w:r w:rsidRPr="00F048F7">
              <w:rPr>
                <w:rFonts w:ascii="Arial" w:eastAsia="SimSun" w:hAnsi="Arial" w:cs="Arial"/>
                <w:color w:val="000000"/>
                <w:spacing w:val="-3"/>
                <w:lang w:val="en-GB" w:eastAsia="ar-SA"/>
              </w:rPr>
              <w:lastRenderedPageBreak/>
              <w:t xml:space="preserve">introducing a </w:t>
            </w:r>
            <w:r>
              <w:rPr>
                <w:rFonts w:ascii="Arial" w:eastAsia="SimSun" w:hAnsi="Arial" w:cs="Arial"/>
                <w:color w:val="000000"/>
                <w:spacing w:val="-3"/>
                <w:lang w:val="en-GB" w:eastAsia="ar-SA"/>
              </w:rPr>
              <w:t>Financial Sustainability</w:t>
            </w:r>
            <w:r w:rsidRPr="00F048F7">
              <w:rPr>
                <w:rFonts w:ascii="Arial" w:eastAsia="SimSun" w:hAnsi="Arial" w:cs="Arial"/>
                <w:color w:val="000000"/>
                <w:spacing w:val="-3"/>
                <w:lang w:val="en-GB" w:eastAsia="ar-SA"/>
              </w:rPr>
              <w:t xml:space="preserve"> mechanism is embedded in the </w:t>
            </w:r>
            <w:r>
              <w:rPr>
                <w:rFonts w:ascii="Arial" w:eastAsia="SimSun" w:hAnsi="Arial" w:cs="Arial"/>
                <w:color w:val="000000"/>
                <w:spacing w:val="-3"/>
                <w:lang w:val="en-GB" w:eastAsia="ar-SA"/>
              </w:rPr>
              <w:t>M</w:t>
            </w:r>
            <w:r w:rsidRPr="00F048F7">
              <w:rPr>
                <w:rFonts w:ascii="Arial" w:eastAsia="SimSun" w:hAnsi="Arial" w:cs="Arial"/>
                <w:color w:val="000000"/>
                <w:spacing w:val="-3"/>
                <w:lang w:val="en-GB" w:eastAsia="ar-SA"/>
              </w:rPr>
              <w:t xml:space="preserve">GA &amp; EIT regulation. In addition, these regulations are being strictly introduced into the legal framework of Horizon Europe, stating that returns should be reinvested into the KIC to leverage other funds and ensure Financial Sustainability. The Financial Sustainability mechanism requirement was mentioned in </w:t>
            </w:r>
            <w:r>
              <w:rPr>
                <w:rFonts w:ascii="Arial" w:eastAsia="SimSun" w:hAnsi="Arial" w:cs="Arial"/>
                <w:color w:val="000000"/>
                <w:spacing w:val="-3"/>
                <w:lang w:val="en-GB" w:eastAsia="ar-SA"/>
              </w:rPr>
              <w:t>2022</w:t>
            </w:r>
            <w:r w:rsidRPr="00F048F7">
              <w:rPr>
                <w:rFonts w:ascii="Arial" w:eastAsia="SimSun" w:hAnsi="Arial" w:cs="Arial"/>
                <w:color w:val="000000"/>
                <w:spacing w:val="-3"/>
                <w:lang w:val="en-GB" w:eastAsia="ar-SA"/>
              </w:rPr>
              <w:t xml:space="preserve"> Call for Proposals Guidelines</w:t>
            </w:r>
            <w:r w:rsidRPr="004F5091">
              <w:rPr>
                <w:rFonts w:ascii="Arial" w:eastAsia="SimSun" w:hAnsi="Arial" w:cs="Arial"/>
                <w:color w:val="000000"/>
                <w:spacing w:val="-3"/>
                <w:lang w:val="en-GB" w:eastAsia="ar-SA"/>
              </w:rPr>
              <w:t>.</w:t>
            </w:r>
          </w:p>
        </w:tc>
      </w:tr>
      <w:bookmarkEnd w:id="3"/>
    </w:tbl>
    <w:p w14:paraId="4E27EB96" w14:textId="77777777" w:rsidR="003D4516" w:rsidRPr="00F553DB" w:rsidRDefault="003D4516" w:rsidP="003D4516">
      <w:pPr>
        <w:pStyle w:val="Revision"/>
        <w:jc w:val="both"/>
        <w:rPr>
          <w:b w:val="0"/>
          <w:color w:val="000000"/>
          <w:sz w:val="22"/>
          <w:szCs w:val="22"/>
        </w:rPr>
      </w:pPr>
    </w:p>
    <w:p w14:paraId="6C85CB3B" w14:textId="77777777" w:rsidR="003D4516" w:rsidRPr="00F553DB" w:rsidRDefault="003D4516" w:rsidP="003D4516">
      <w:pPr>
        <w:pStyle w:val="Revision"/>
        <w:jc w:val="both"/>
        <w:rPr>
          <w:color w:val="000000"/>
          <w:sz w:val="22"/>
          <w:szCs w:val="22"/>
        </w:rPr>
      </w:pPr>
    </w:p>
    <w:p w14:paraId="63D28C4B" w14:textId="77777777" w:rsidR="003D4516" w:rsidRPr="00F553DB" w:rsidRDefault="003D4516" w:rsidP="003D4516">
      <w:pPr>
        <w:jc w:val="both"/>
        <w:rPr>
          <w:rFonts w:ascii="Arial" w:hAnsi="Arial" w:cs="Arial"/>
          <w:lang w:val="en-GB"/>
        </w:rPr>
      </w:pPr>
      <w:bookmarkStart w:id="4" w:name="_Hlk72331621"/>
      <w:r w:rsidRPr="00F553DB">
        <w:rPr>
          <w:rFonts w:ascii="Arial" w:hAnsi="Arial" w:cs="Arial"/>
          <w:b/>
          <w:bCs/>
          <w:lang w:val="en-GB"/>
        </w:rPr>
        <w:t>NOW, THEREFORE, IT IS HEREBY AGREED AS FOLLOWS:</w:t>
      </w:r>
    </w:p>
    <w:p w14:paraId="1F5D0ED0" w14:textId="77777777" w:rsidR="003D4516" w:rsidRPr="00F553DB" w:rsidRDefault="003D4516" w:rsidP="003D4516">
      <w:pPr>
        <w:pStyle w:val="Heading1"/>
        <w:keepNext w:val="0"/>
        <w:keepLines w:val="0"/>
        <w:numPr>
          <w:ilvl w:val="0"/>
          <w:numId w:val="1"/>
        </w:numPr>
        <w:suppressAutoHyphens/>
        <w:spacing w:before="0" w:after="0"/>
        <w:contextualSpacing w:val="0"/>
        <w:jc w:val="both"/>
        <w:rPr>
          <w:rFonts w:ascii="Arial" w:hAnsi="Arial" w:cs="Arial"/>
          <w:color w:val="000000"/>
          <w:szCs w:val="22"/>
        </w:rPr>
      </w:pPr>
    </w:p>
    <w:p w14:paraId="500DF4D0" w14:textId="77777777" w:rsidR="003D4516" w:rsidRPr="00585590" w:rsidRDefault="003D4516" w:rsidP="003D4516">
      <w:pPr>
        <w:pStyle w:val="Heading1"/>
        <w:jc w:val="both"/>
        <w:rPr>
          <w:rFonts w:ascii="Arial" w:hAnsi="Arial" w:cs="Arial"/>
          <w:color w:val="auto"/>
          <w:szCs w:val="22"/>
        </w:rPr>
      </w:pPr>
      <w:r w:rsidRPr="00585590">
        <w:rPr>
          <w:rFonts w:ascii="Arial" w:hAnsi="Arial" w:cs="Arial"/>
          <w:color w:val="auto"/>
          <w:szCs w:val="22"/>
        </w:rPr>
        <w:t>Article 1: Definitions</w:t>
      </w:r>
    </w:p>
    <w:p w14:paraId="4275B2B1" w14:textId="77777777" w:rsidR="003D4516" w:rsidRPr="00F553DB" w:rsidRDefault="003D4516" w:rsidP="003D4516">
      <w:pPr>
        <w:pStyle w:val="Title"/>
        <w:jc w:val="both"/>
        <w:rPr>
          <w:rFonts w:ascii="Arial" w:hAnsi="Arial" w:cs="Arial"/>
          <w:szCs w:val="22"/>
        </w:rPr>
      </w:pPr>
      <w:r w:rsidRPr="00585590">
        <w:rPr>
          <w:rFonts w:ascii="Arial" w:hAnsi="Arial" w:cs="Arial"/>
          <w:color w:val="auto"/>
          <w:szCs w:val="22"/>
        </w:rPr>
        <w:t>1.1</w:t>
      </w:r>
      <w:r w:rsidRPr="00585590">
        <w:rPr>
          <w:rFonts w:ascii="Arial" w:hAnsi="Arial" w:cs="Arial"/>
          <w:color w:val="auto"/>
          <w:szCs w:val="22"/>
        </w:rPr>
        <w:tab/>
        <w:t>Definitions</w:t>
      </w:r>
    </w:p>
    <w:p w14:paraId="3855160E" w14:textId="77777777" w:rsidR="003D4516" w:rsidRPr="00F553DB" w:rsidRDefault="003D4516" w:rsidP="003D4516">
      <w:pPr>
        <w:jc w:val="both"/>
        <w:rPr>
          <w:rFonts w:ascii="Arial" w:hAnsi="Arial" w:cs="Arial"/>
          <w:lang w:val="en-GB"/>
        </w:rPr>
      </w:pPr>
      <w:r w:rsidRPr="00F553DB">
        <w:rPr>
          <w:rFonts w:ascii="Arial" w:hAnsi="Arial" w:cs="Arial"/>
          <w:lang w:val="en-GB"/>
        </w:rPr>
        <w:t xml:space="preserve">Words beginning with a capital letter shall have the meaning defined either herein or in the Rules of Participation for Horizon </w:t>
      </w:r>
      <w:r>
        <w:rPr>
          <w:rFonts w:ascii="Arial" w:hAnsi="Arial" w:cs="Arial"/>
          <w:lang w:val="en-GB"/>
        </w:rPr>
        <w:t>Europe</w:t>
      </w:r>
      <w:r w:rsidRPr="00F553DB">
        <w:rPr>
          <w:rFonts w:ascii="Arial" w:hAnsi="Arial" w:cs="Arial"/>
          <w:lang w:val="en-GB"/>
        </w:rPr>
        <w:t xml:space="preserve"> or in the PA or </w:t>
      </w:r>
      <w:r>
        <w:rPr>
          <w:rFonts w:ascii="Arial" w:hAnsi="Arial" w:cs="Arial"/>
          <w:lang w:val="en-GB"/>
        </w:rPr>
        <w:t>M</w:t>
      </w:r>
      <w:r w:rsidRPr="00F553DB">
        <w:rPr>
          <w:rFonts w:ascii="Arial" w:hAnsi="Arial" w:cs="Arial"/>
          <w:lang w:val="en-GB"/>
        </w:rPr>
        <w:t xml:space="preserve">GA including its Annexes, or the </w:t>
      </w:r>
      <w:r>
        <w:rPr>
          <w:rFonts w:ascii="Arial" w:hAnsi="Arial" w:cs="Arial"/>
          <w:lang w:val="en-GB"/>
        </w:rPr>
        <w:t>PGA</w:t>
      </w:r>
      <w:r w:rsidRPr="00F553DB">
        <w:rPr>
          <w:rFonts w:ascii="Arial" w:hAnsi="Arial" w:cs="Arial"/>
          <w:lang w:val="en-GB"/>
        </w:rPr>
        <w:t>.</w:t>
      </w:r>
    </w:p>
    <w:p w14:paraId="333BE430" w14:textId="77777777" w:rsidR="003D4516" w:rsidRPr="00F553DB" w:rsidRDefault="003D4516" w:rsidP="003D4516">
      <w:pPr>
        <w:pStyle w:val="Title"/>
        <w:jc w:val="both"/>
        <w:rPr>
          <w:rFonts w:ascii="Arial" w:hAnsi="Arial" w:cs="Arial"/>
          <w:szCs w:val="22"/>
        </w:rPr>
      </w:pPr>
      <w:r w:rsidRPr="00585590">
        <w:rPr>
          <w:rFonts w:ascii="Arial" w:hAnsi="Arial" w:cs="Arial"/>
          <w:color w:val="auto"/>
          <w:szCs w:val="22"/>
        </w:rPr>
        <w:t xml:space="preserve">1.2 </w:t>
      </w:r>
      <w:r w:rsidRPr="00585590">
        <w:rPr>
          <w:rFonts w:ascii="Arial" w:hAnsi="Arial" w:cs="Arial"/>
          <w:color w:val="auto"/>
          <w:szCs w:val="22"/>
        </w:rPr>
        <w:tab/>
        <w:t>Additional Definitions</w:t>
      </w:r>
    </w:p>
    <w:p w14:paraId="1BADDBC2" w14:textId="77777777" w:rsidR="003D4516" w:rsidRPr="00767F35" w:rsidRDefault="003D4516" w:rsidP="003D4516">
      <w:pPr>
        <w:jc w:val="both"/>
        <w:rPr>
          <w:rFonts w:ascii="Arial" w:hAnsi="Arial" w:cs="Arial"/>
          <w:color w:val="000000"/>
        </w:rPr>
      </w:pPr>
      <w:r w:rsidRPr="00767F35">
        <w:rPr>
          <w:rFonts w:ascii="Arial" w:hAnsi="Arial" w:cs="Arial"/>
          <w:b/>
          <w:bCs/>
          <w:color w:val="000000"/>
        </w:rPr>
        <w:t xml:space="preserve">“Affiliated entities </w:t>
      </w:r>
      <w:r w:rsidRPr="00767F35">
        <w:rPr>
          <w:rFonts w:ascii="Arial" w:hAnsi="Arial" w:cs="Arial"/>
          <w:color w:val="000000"/>
        </w:rPr>
        <w:t>shall have the meaning as defined in article 187 of the EU Financial Regulation 2018/1046:</w:t>
      </w:r>
    </w:p>
    <w:p w14:paraId="77D45E8A" w14:textId="77777777" w:rsidR="003D4516" w:rsidRPr="00767F35" w:rsidRDefault="003D4516" w:rsidP="003D4516">
      <w:pPr>
        <w:jc w:val="both"/>
        <w:rPr>
          <w:rFonts w:ascii="Arial" w:hAnsi="Arial" w:cs="Arial"/>
          <w:color w:val="000000"/>
        </w:rPr>
      </w:pPr>
      <w:r w:rsidRPr="00767F35">
        <w:rPr>
          <w:rFonts w:ascii="Arial" w:hAnsi="Arial" w:cs="Arial"/>
          <w:color w:val="000000"/>
        </w:rPr>
        <w:t xml:space="preserve"> (a) entities that form a sole beneficiary [(i.e. where an entity is formed of several entities that satisfy the criteria for being awarded a grant, including where the entity is specifically established for the purpose of implementing an action to be financed by a grant)];</w:t>
      </w:r>
    </w:p>
    <w:p w14:paraId="293BD5C3" w14:textId="77777777" w:rsidR="003D4516" w:rsidRPr="00767F35" w:rsidRDefault="003D4516" w:rsidP="003D4516">
      <w:pPr>
        <w:jc w:val="both"/>
        <w:rPr>
          <w:rFonts w:ascii="Arial" w:eastAsiaTheme="minorHAnsi" w:hAnsi="Arial" w:cs="Arial"/>
          <w:color w:val="000000"/>
          <w:lang w:val="en-GB"/>
        </w:rPr>
      </w:pPr>
      <w:r w:rsidRPr="00767F35">
        <w:rPr>
          <w:rFonts w:ascii="Arial" w:hAnsi="Arial" w:cs="Arial"/>
          <w:color w:val="000000"/>
        </w:rPr>
        <w:t xml:space="preserve"> (b) entities that satisfy the eligibility criteria and that do not fall within one of the situations referred to in Article 136(1) and 141(1) and that have a link with the beneficiary, in particular a legal or capital link, which is neither limited to the action nor established for the sole purpose of its implementation”.</w:t>
      </w:r>
    </w:p>
    <w:p w14:paraId="7784569B" w14:textId="77777777" w:rsidR="003D4516" w:rsidRDefault="003D4516" w:rsidP="003D4516">
      <w:pPr>
        <w:jc w:val="both"/>
        <w:rPr>
          <w:rFonts w:ascii="Arial" w:hAnsi="Arial" w:cs="Arial"/>
          <w:lang w:val="en-GB"/>
        </w:rPr>
      </w:pPr>
      <w:r w:rsidRPr="00F048F7">
        <w:rPr>
          <w:rFonts w:ascii="Arial" w:hAnsi="Arial" w:cs="Arial"/>
          <w:b/>
          <w:lang w:val="en-GB"/>
        </w:rPr>
        <w:t>“Authorised Representative”</w:t>
      </w:r>
      <w:r w:rsidRPr="00F048F7">
        <w:rPr>
          <w:rFonts w:ascii="Arial" w:hAnsi="Arial" w:cs="Arial"/>
          <w:lang w:val="en-GB"/>
        </w:rPr>
        <w:t xml:space="preserve"> shall mean the person or persons duly authorised to sign this Agreement on behalf of a Party.</w:t>
      </w:r>
    </w:p>
    <w:p w14:paraId="2AFB5E10" w14:textId="77777777" w:rsidR="003D4516" w:rsidRPr="00F048F7" w:rsidRDefault="003D4516" w:rsidP="003D4516">
      <w:pPr>
        <w:jc w:val="both"/>
        <w:rPr>
          <w:rFonts w:ascii="Arial" w:hAnsi="Arial" w:cs="Arial"/>
          <w:lang w:val="en-GB"/>
        </w:rPr>
      </w:pPr>
      <w:r w:rsidRPr="00291C7F">
        <w:rPr>
          <w:rFonts w:ascii="Arial" w:hAnsi="Arial" w:cs="Arial"/>
          <w:b/>
          <w:bCs/>
          <w:lang w:val="en-GB"/>
        </w:rPr>
        <w:t>‘’Consortium”</w:t>
      </w:r>
      <w:r w:rsidRPr="005C23F5">
        <w:rPr>
          <w:rFonts w:ascii="Arial" w:hAnsi="Arial" w:cs="Arial"/>
          <w:lang w:val="en-GB"/>
        </w:rPr>
        <w:t xml:space="preserve"> </w:t>
      </w:r>
      <w:r>
        <w:rPr>
          <w:rFonts w:ascii="Arial" w:hAnsi="Arial" w:cs="Arial"/>
          <w:lang w:val="en-GB"/>
        </w:rPr>
        <w:t>shall mean t</w:t>
      </w:r>
      <w:r w:rsidRPr="005C23F5">
        <w:rPr>
          <w:rFonts w:ascii="Arial" w:hAnsi="Arial" w:cs="Arial"/>
          <w:lang w:val="en-GB"/>
        </w:rPr>
        <w:t>he EIT Food Partners</w:t>
      </w:r>
      <w:r>
        <w:rPr>
          <w:rFonts w:ascii="Arial" w:hAnsi="Arial" w:cs="Arial"/>
          <w:lang w:val="en-GB"/>
        </w:rPr>
        <w:t xml:space="preserve"> (including the Exploiting Party as further defined)</w:t>
      </w:r>
      <w:r w:rsidRPr="005C23F5">
        <w:rPr>
          <w:rFonts w:ascii="Arial" w:hAnsi="Arial" w:cs="Arial"/>
          <w:lang w:val="en-GB"/>
        </w:rPr>
        <w:t xml:space="preserve"> working together in the “KIC Added Value Activity” or “KAVA</w:t>
      </w:r>
      <w:r>
        <w:rPr>
          <w:rFonts w:ascii="Arial" w:hAnsi="Arial" w:cs="Arial"/>
          <w:lang w:val="en-GB"/>
        </w:rPr>
        <w:t>”.</w:t>
      </w:r>
    </w:p>
    <w:p w14:paraId="08545911" w14:textId="77777777" w:rsidR="003D4516" w:rsidRPr="00145C9C" w:rsidRDefault="003D4516" w:rsidP="003D4516">
      <w:pPr>
        <w:jc w:val="both"/>
        <w:rPr>
          <w:rFonts w:ascii="Arial" w:hAnsi="Arial" w:cs="Arial"/>
          <w:lang w:val="en-GB"/>
        </w:rPr>
      </w:pPr>
      <w:r w:rsidRPr="00F048F7">
        <w:rPr>
          <w:rFonts w:ascii="Arial" w:hAnsi="Arial" w:cs="Arial"/>
          <w:b/>
          <w:lang w:val="en-GB"/>
        </w:rPr>
        <w:t>“Effective Date”</w:t>
      </w:r>
      <w:r w:rsidRPr="00F048F7">
        <w:rPr>
          <w:rFonts w:ascii="Arial" w:hAnsi="Arial" w:cs="Arial"/>
          <w:lang w:val="en-GB"/>
        </w:rPr>
        <w:t xml:space="preserve"> shall mean </w:t>
      </w:r>
      <w:r w:rsidRPr="00145C9C">
        <w:rPr>
          <w:rFonts w:ascii="Arial" w:hAnsi="Arial" w:cs="Arial"/>
          <w:lang w:val="en-GB"/>
        </w:rPr>
        <w:t>the date first referenced above.</w:t>
      </w:r>
    </w:p>
    <w:p w14:paraId="26E99F12" w14:textId="77777777" w:rsidR="003D4516" w:rsidRPr="004F5091" w:rsidRDefault="003D4516" w:rsidP="003D4516">
      <w:pPr>
        <w:autoSpaceDE w:val="0"/>
        <w:autoSpaceDN w:val="0"/>
        <w:adjustRightInd w:val="0"/>
        <w:spacing w:before="120" w:after="0" w:line="240" w:lineRule="auto"/>
        <w:jc w:val="both"/>
        <w:rPr>
          <w:rFonts w:ascii="Arial" w:hAnsi="Arial" w:cs="Arial"/>
          <w:color w:val="000000"/>
          <w:spacing w:val="-3"/>
          <w:lang w:val="en-US"/>
        </w:rPr>
      </w:pPr>
      <w:r w:rsidRPr="00145C9C">
        <w:rPr>
          <w:rFonts w:ascii="Arial" w:hAnsi="Arial" w:cs="Arial"/>
          <w:lang w:val="en-GB"/>
        </w:rPr>
        <w:t>“</w:t>
      </w:r>
      <w:r w:rsidRPr="00CA681A">
        <w:rPr>
          <w:rFonts w:ascii="Arial" w:hAnsi="Arial" w:cs="Arial"/>
          <w:b/>
          <w:color w:val="000000"/>
          <w:spacing w:val="-3"/>
          <w:lang w:val="en-US"/>
        </w:rPr>
        <w:t>Exploitation</w:t>
      </w:r>
      <w:r>
        <w:rPr>
          <w:rFonts w:ascii="Arial" w:hAnsi="Arial" w:cs="Arial"/>
          <w:b/>
          <w:color w:val="000000"/>
          <w:spacing w:val="-3"/>
          <w:lang w:val="en-US"/>
        </w:rPr>
        <w:t>”</w:t>
      </w:r>
      <w:r w:rsidRPr="00CA681A">
        <w:rPr>
          <w:rFonts w:ascii="Arial" w:hAnsi="Arial" w:cs="Arial"/>
          <w:color w:val="000000"/>
          <w:spacing w:val="-3"/>
          <w:lang w:val="en-US"/>
        </w:rPr>
        <w:t xml:space="preserve"> or </w:t>
      </w:r>
      <w:r>
        <w:rPr>
          <w:rFonts w:ascii="Arial" w:hAnsi="Arial" w:cs="Arial"/>
          <w:color w:val="000000"/>
          <w:spacing w:val="-3"/>
          <w:lang w:val="en-US"/>
        </w:rPr>
        <w:t>“</w:t>
      </w:r>
      <w:r w:rsidRPr="00CA681A">
        <w:rPr>
          <w:rFonts w:ascii="Arial" w:hAnsi="Arial" w:cs="Arial"/>
          <w:b/>
          <w:color w:val="000000"/>
          <w:spacing w:val="-3"/>
          <w:lang w:val="en-US"/>
        </w:rPr>
        <w:t>Exploit</w:t>
      </w:r>
      <w:r w:rsidRPr="00CA681A">
        <w:rPr>
          <w:rFonts w:ascii="Arial" w:hAnsi="Arial" w:cs="Arial"/>
          <w:color w:val="000000"/>
          <w:spacing w:val="-3"/>
          <w:lang w:val="en-US"/>
        </w:rPr>
        <w:t xml:space="preserve"> shall mean the direct or indirect use of Results of the KAVA in </w:t>
      </w:r>
      <w:proofErr w:type="spellStart"/>
      <w:r w:rsidRPr="00CA681A">
        <w:rPr>
          <w:rFonts w:ascii="Arial" w:hAnsi="Arial" w:cs="Arial"/>
          <w:color w:val="000000"/>
          <w:spacing w:val="-3"/>
          <w:lang w:val="en-US"/>
        </w:rPr>
        <w:t>i</w:t>
      </w:r>
      <w:proofErr w:type="spellEnd"/>
      <w:r w:rsidRPr="00CA681A">
        <w:rPr>
          <w:rFonts w:ascii="Arial" w:hAnsi="Arial" w:cs="Arial"/>
          <w:color w:val="000000"/>
          <w:spacing w:val="-3"/>
          <w:lang w:val="en-US"/>
        </w:rPr>
        <w:t xml:space="preserve">) </w:t>
      </w:r>
      <w:r w:rsidRPr="004F5091">
        <w:rPr>
          <w:rFonts w:ascii="Arial" w:hAnsi="Arial" w:cs="Arial"/>
          <w:color w:val="000000"/>
          <w:spacing w:val="-3"/>
          <w:lang w:val="en-US"/>
        </w:rPr>
        <w:t>further research activities other than those covered by the Business Plan</w:t>
      </w:r>
      <w:r w:rsidRPr="00CA681A">
        <w:rPr>
          <w:rFonts w:ascii="Arial" w:hAnsi="Arial" w:cs="Arial"/>
          <w:color w:val="000000"/>
          <w:spacing w:val="-3"/>
          <w:lang w:val="en-US"/>
        </w:rPr>
        <w:t xml:space="preserve">, or ii) in developing, </w:t>
      </w:r>
      <w:proofErr w:type="gramStart"/>
      <w:r w:rsidRPr="00CA681A">
        <w:rPr>
          <w:rFonts w:ascii="Arial" w:hAnsi="Arial" w:cs="Arial"/>
          <w:color w:val="000000"/>
          <w:spacing w:val="-3"/>
          <w:lang w:val="en-US"/>
        </w:rPr>
        <w:t>creating</w:t>
      </w:r>
      <w:proofErr w:type="gramEnd"/>
      <w:r w:rsidRPr="00CA681A">
        <w:rPr>
          <w:rFonts w:ascii="Arial" w:hAnsi="Arial" w:cs="Arial"/>
          <w:color w:val="000000"/>
          <w:spacing w:val="-3"/>
          <w:lang w:val="en-US"/>
        </w:rPr>
        <w:t xml:space="preserve"> </w:t>
      </w:r>
      <w:r w:rsidRPr="00CA681A">
        <w:rPr>
          <w:rFonts w:ascii="Arial" w:eastAsia="SimSun" w:hAnsi="Arial" w:cs="Arial"/>
          <w:color w:val="000000"/>
          <w:spacing w:val="-3"/>
          <w:lang w:val="en-US" w:eastAsia="fi-FI"/>
        </w:rPr>
        <w:t>or</w:t>
      </w:r>
      <w:r w:rsidRPr="00CA681A">
        <w:rPr>
          <w:rFonts w:ascii="Arial" w:hAnsi="Arial" w:cs="Arial"/>
          <w:color w:val="000000"/>
          <w:spacing w:val="-3"/>
          <w:lang w:val="en-US"/>
        </w:rPr>
        <w:t xml:space="preserve"> marketing a product, or process, or iii) in creating and providing a service. </w:t>
      </w:r>
      <w:r w:rsidRPr="004F5091">
        <w:rPr>
          <w:rFonts w:ascii="Arial" w:hAnsi="Arial" w:cs="Arial"/>
          <w:color w:val="000000"/>
          <w:spacing w:val="-3"/>
          <w:lang w:val="en-US"/>
        </w:rPr>
        <w:t xml:space="preserve">Exploitation or Exploit as defined in this Agreement does not include use of Results for academic </w:t>
      </w:r>
      <w:r>
        <w:rPr>
          <w:rFonts w:ascii="Arial" w:hAnsi="Arial" w:cs="Arial"/>
          <w:color w:val="000000"/>
          <w:spacing w:val="-3"/>
          <w:lang w:val="en-US"/>
        </w:rPr>
        <w:t>or other non-commercial</w:t>
      </w:r>
      <w:r w:rsidRPr="004F5091">
        <w:rPr>
          <w:rFonts w:ascii="Arial" w:hAnsi="Arial" w:cs="Arial"/>
          <w:color w:val="000000"/>
          <w:spacing w:val="-3"/>
          <w:lang w:val="en-US"/>
        </w:rPr>
        <w:t xml:space="preserve"> research activities or teaching.</w:t>
      </w:r>
    </w:p>
    <w:p w14:paraId="6B882A5C" w14:textId="77777777" w:rsidR="003D4516" w:rsidRPr="004F5091" w:rsidRDefault="003D4516" w:rsidP="003D4516">
      <w:pPr>
        <w:autoSpaceDE w:val="0"/>
        <w:autoSpaceDN w:val="0"/>
        <w:adjustRightInd w:val="0"/>
        <w:spacing w:before="120" w:after="0" w:line="240" w:lineRule="auto"/>
        <w:rPr>
          <w:rFonts w:ascii="Arial" w:hAnsi="Arial" w:cs="Arial"/>
          <w:color w:val="000000"/>
          <w:spacing w:val="-3"/>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3D4516" w:rsidRPr="002452C6" w14:paraId="38F4270C" w14:textId="77777777" w:rsidTr="009C416B">
        <w:tc>
          <w:tcPr>
            <w:tcW w:w="9212" w:type="dxa"/>
            <w:shd w:val="clear" w:color="auto" w:fill="auto"/>
          </w:tcPr>
          <w:p w14:paraId="61CE0DCC" w14:textId="77777777" w:rsidR="003D4516" w:rsidRPr="00F048F7" w:rsidRDefault="003D4516" w:rsidP="009C416B">
            <w:pPr>
              <w:spacing w:after="0" w:line="240" w:lineRule="auto"/>
              <w:jc w:val="both"/>
              <w:rPr>
                <w:rFonts w:ascii="Arial" w:eastAsia="SimSun" w:hAnsi="Arial" w:cs="Arial"/>
                <w:color w:val="000000"/>
                <w:spacing w:val="-3"/>
                <w:lang w:val="en-GB"/>
              </w:rPr>
            </w:pPr>
            <w:bookmarkStart w:id="5" w:name="_Hlk36112074"/>
            <w:r w:rsidRPr="00CA681A">
              <w:rPr>
                <w:rFonts w:ascii="Arial" w:hAnsi="Arial" w:cs="Arial"/>
                <w:color w:val="000000"/>
                <w:spacing w:val="-3"/>
                <w:lang w:val="en-US"/>
              </w:rPr>
              <w:t xml:space="preserve">Clarification of definition of </w:t>
            </w:r>
            <w:r>
              <w:rPr>
                <w:rFonts w:ascii="Arial" w:hAnsi="Arial" w:cs="Arial"/>
                <w:color w:val="000000"/>
                <w:spacing w:val="-3"/>
                <w:lang w:val="en-US"/>
              </w:rPr>
              <w:t>“</w:t>
            </w:r>
            <w:r w:rsidRPr="00CA681A">
              <w:rPr>
                <w:rFonts w:ascii="Arial" w:hAnsi="Arial" w:cs="Arial"/>
                <w:color w:val="000000"/>
                <w:spacing w:val="-3"/>
                <w:lang w:val="en-US"/>
              </w:rPr>
              <w:t>Exploitation: The definition of Exploitation is based on the definition of Exploitation as provided for in Article</w:t>
            </w:r>
            <w:r>
              <w:rPr>
                <w:rFonts w:ascii="Arial" w:hAnsi="Arial" w:cs="Arial"/>
                <w:color w:val="000000"/>
                <w:spacing w:val="-3"/>
                <w:lang w:val="en-US"/>
              </w:rPr>
              <w:t xml:space="preserve"> 16 MGA</w:t>
            </w:r>
            <w:r w:rsidRPr="00CA681A">
              <w:rPr>
                <w:rFonts w:ascii="Arial" w:hAnsi="Arial" w:cs="Arial"/>
                <w:color w:val="000000"/>
                <w:spacing w:val="-3"/>
                <w:lang w:val="en-US"/>
              </w:rPr>
              <w:t xml:space="preserve">. In plain language Exploitation means the use of the Results for commercial purposes, of selling, marketing, licensing, distributing </w:t>
            </w:r>
            <w:proofErr w:type="spellStart"/>
            <w:r w:rsidRPr="00CA681A">
              <w:rPr>
                <w:rFonts w:ascii="Arial" w:hAnsi="Arial" w:cs="Arial"/>
                <w:color w:val="000000"/>
                <w:spacing w:val="-3"/>
                <w:lang w:val="en-US"/>
              </w:rPr>
              <w:t>etc</w:t>
            </w:r>
            <w:proofErr w:type="spellEnd"/>
            <w:r w:rsidRPr="00CA681A">
              <w:rPr>
                <w:rFonts w:ascii="Arial" w:hAnsi="Arial" w:cs="Arial"/>
                <w:color w:val="000000"/>
                <w:spacing w:val="-3"/>
                <w:lang w:val="en-US"/>
              </w:rPr>
              <w:t xml:space="preserve"> products and services. However</w:t>
            </w:r>
            <w:r>
              <w:rPr>
                <w:rFonts w:ascii="Arial" w:hAnsi="Arial" w:cs="Arial"/>
                <w:color w:val="000000"/>
                <w:spacing w:val="-3"/>
                <w:lang w:val="en-US"/>
              </w:rPr>
              <w:t>, it</w:t>
            </w:r>
            <w:r w:rsidRPr="00CA681A">
              <w:rPr>
                <w:rFonts w:ascii="Arial" w:hAnsi="Arial" w:cs="Arial"/>
                <w:color w:val="000000"/>
                <w:spacing w:val="-3"/>
                <w:lang w:val="en-US"/>
              </w:rPr>
              <w:t xml:space="preserve"> is important to note that the activities of academic research activities and teaching are excluded from the definition for this Agreement. By doing this, EIT Food wants to exempt the academic activities from the scope of this Agreement and the sustainability mechanism. </w:t>
            </w:r>
          </w:p>
        </w:tc>
      </w:tr>
      <w:bookmarkEnd w:id="5"/>
    </w:tbl>
    <w:p w14:paraId="098ACC55" w14:textId="77777777" w:rsidR="003D4516" w:rsidRPr="00CA681A" w:rsidRDefault="003D4516" w:rsidP="003D4516">
      <w:pPr>
        <w:autoSpaceDE w:val="0"/>
        <w:autoSpaceDN w:val="0"/>
        <w:adjustRightInd w:val="0"/>
        <w:spacing w:before="120" w:after="0" w:line="240" w:lineRule="auto"/>
        <w:rPr>
          <w:rFonts w:ascii="Arial" w:hAnsi="Arial" w:cs="Arial"/>
          <w:color w:val="000000"/>
          <w:spacing w:val="-3"/>
          <w:lang w:val="en-US"/>
        </w:rPr>
      </w:pPr>
    </w:p>
    <w:p w14:paraId="2CCD8B9B" w14:textId="77777777" w:rsidR="003D4516" w:rsidRPr="00CA681A" w:rsidRDefault="003D4516" w:rsidP="003D4516">
      <w:pPr>
        <w:autoSpaceDE w:val="0"/>
        <w:autoSpaceDN w:val="0"/>
        <w:adjustRightInd w:val="0"/>
        <w:spacing w:before="120" w:after="0" w:line="240" w:lineRule="auto"/>
        <w:jc w:val="both"/>
        <w:rPr>
          <w:rFonts w:ascii="Arial" w:hAnsi="Arial" w:cs="Arial"/>
          <w:color w:val="000000"/>
          <w:spacing w:val="-3"/>
          <w:lang w:val="en-US"/>
        </w:rPr>
      </w:pPr>
      <w:r w:rsidRPr="00CA681A">
        <w:rPr>
          <w:rFonts w:ascii="Arial" w:hAnsi="Arial" w:cs="Arial"/>
          <w:b/>
          <w:bCs/>
          <w:color w:val="000000"/>
          <w:spacing w:val="-3"/>
          <w:lang w:val="en-US"/>
        </w:rPr>
        <w:lastRenderedPageBreak/>
        <w:t>“Exploiting Party</w:t>
      </w:r>
      <w:r>
        <w:rPr>
          <w:rFonts w:ascii="Arial" w:hAnsi="Arial" w:cs="Arial"/>
          <w:b/>
          <w:bCs/>
          <w:color w:val="000000"/>
          <w:spacing w:val="-3"/>
          <w:lang w:val="en-US"/>
        </w:rPr>
        <w:t xml:space="preserve">” </w:t>
      </w:r>
      <w:r w:rsidRPr="00CA681A">
        <w:rPr>
          <w:rFonts w:ascii="Arial" w:hAnsi="Arial" w:cs="Arial"/>
          <w:color w:val="000000"/>
          <w:spacing w:val="-3"/>
          <w:lang w:val="en-US"/>
        </w:rPr>
        <w:t>shall mean the party as designated in the list of parties to this Agreement, that will take the primary responsibility for the Exploitation of the Results of the KAVA, in consultation with the other EIT Food Partners in the KAVA.</w:t>
      </w:r>
    </w:p>
    <w:p w14:paraId="64719206" w14:textId="77777777" w:rsidR="003D4516" w:rsidRPr="00CA681A" w:rsidRDefault="003D4516" w:rsidP="003D4516">
      <w:pPr>
        <w:autoSpaceDE w:val="0"/>
        <w:autoSpaceDN w:val="0"/>
        <w:adjustRightInd w:val="0"/>
        <w:spacing w:before="120" w:after="0" w:line="240" w:lineRule="auto"/>
        <w:rPr>
          <w:rFonts w:ascii="Arial" w:hAnsi="Arial" w:cs="Arial"/>
          <w:color w:val="000000"/>
          <w:spacing w:val="-3"/>
          <w:lang w:val="en-US"/>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3D4516" w:rsidRPr="002452C6" w14:paraId="1DDDEF5A" w14:textId="77777777" w:rsidTr="009C416B">
        <w:tc>
          <w:tcPr>
            <w:tcW w:w="9212" w:type="dxa"/>
            <w:shd w:val="clear" w:color="auto" w:fill="auto"/>
          </w:tcPr>
          <w:p w14:paraId="73FBCC6A" w14:textId="77777777" w:rsidR="003D4516" w:rsidRPr="00CA681A" w:rsidRDefault="003D4516" w:rsidP="009C416B">
            <w:pPr>
              <w:autoSpaceDE w:val="0"/>
              <w:autoSpaceDN w:val="0"/>
              <w:adjustRightInd w:val="0"/>
              <w:spacing w:before="120" w:after="0" w:line="240" w:lineRule="auto"/>
              <w:jc w:val="both"/>
              <w:rPr>
                <w:rFonts w:eastAsia="SimSun" w:cs="Calibri"/>
                <w:color w:val="000000"/>
                <w:lang w:val="en-US"/>
              </w:rPr>
            </w:pPr>
            <w:bookmarkStart w:id="6" w:name="_Hlk36112154"/>
            <w:r w:rsidRPr="00F048F7">
              <w:rPr>
                <w:rFonts w:ascii="Arial" w:hAnsi="Arial" w:cs="Arial"/>
                <w:lang w:val="en-GB"/>
              </w:rPr>
              <w:t xml:space="preserve">Clarification of the definition of </w:t>
            </w:r>
            <w:r>
              <w:rPr>
                <w:rFonts w:ascii="Arial" w:hAnsi="Arial" w:cs="Arial"/>
                <w:lang w:val="en-GB"/>
              </w:rPr>
              <w:t>“</w:t>
            </w:r>
            <w:r w:rsidRPr="00F048F7">
              <w:rPr>
                <w:rFonts w:ascii="Arial" w:hAnsi="Arial" w:cs="Arial"/>
                <w:lang w:val="en-GB"/>
              </w:rPr>
              <w:t>Exploiting Party</w:t>
            </w:r>
            <w:r>
              <w:rPr>
                <w:rFonts w:ascii="Arial" w:hAnsi="Arial" w:cs="Arial"/>
                <w:lang w:val="en-GB"/>
              </w:rPr>
              <w:t xml:space="preserve">”: </w:t>
            </w:r>
            <w:r w:rsidRPr="00F048F7">
              <w:rPr>
                <w:rFonts w:ascii="Arial" w:hAnsi="Arial" w:cs="Arial"/>
                <w:lang w:val="en-GB"/>
              </w:rPr>
              <w:t>The Exploiting Party is the EIT Food Partner that will take the primary responsibility for the commercial Exploitation of the Results of</w:t>
            </w:r>
            <w:r>
              <w:rPr>
                <w:rFonts w:ascii="Arial" w:hAnsi="Arial" w:cs="Arial"/>
                <w:lang w:val="en-GB"/>
              </w:rPr>
              <w:t xml:space="preserve"> t</w:t>
            </w:r>
            <w:r w:rsidRPr="00F048F7">
              <w:rPr>
                <w:rFonts w:ascii="Arial" w:hAnsi="Arial" w:cs="Arial"/>
                <w:lang w:val="en-GB"/>
              </w:rPr>
              <w:t xml:space="preserve">he KAVA. </w:t>
            </w:r>
            <w:bookmarkStart w:id="7" w:name="_Hlk55233732"/>
            <w:r w:rsidRPr="00F048F7">
              <w:rPr>
                <w:rFonts w:ascii="Arial" w:hAnsi="Arial" w:cs="Arial"/>
                <w:lang w:val="en-GB"/>
              </w:rPr>
              <w:t xml:space="preserve">The EIT Food Partners working together in the KAVA </w:t>
            </w:r>
            <w:bookmarkEnd w:id="7"/>
            <w:r w:rsidRPr="00F048F7">
              <w:rPr>
                <w:rFonts w:ascii="Arial" w:hAnsi="Arial" w:cs="Arial"/>
                <w:lang w:val="en-GB"/>
              </w:rPr>
              <w:t xml:space="preserve">should </w:t>
            </w:r>
            <w:proofErr w:type="gramStart"/>
            <w:r w:rsidRPr="00F048F7">
              <w:rPr>
                <w:rFonts w:ascii="Arial" w:hAnsi="Arial" w:cs="Arial"/>
                <w:lang w:val="en-GB"/>
              </w:rPr>
              <w:t>make arrangements</w:t>
            </w:r>
            <w:proofErr w:type="gramEnd"/>
            <w:r w:rsidRPr="00F048F7">
              <w:rPr>
                <w:rFonts w:ascii="Arial" w:hAnsi="Arial" w:cs="Arial"/>
                <w:lang w:val="en-GB"/>
              </w:rPr>
              <w:t xml:space="preserve"> between themselves in order to determine who will be the Exploiting Party towards KIC LE. Since EIT Food Partners are deemed to enter into a consortium agreement,</w:t>
            </w:r>
            <w:r>
              <w:rPr>
                <w:rFonts w:ascii="Arial" w:hAnsi="Arial" w:cs="Arial"/>
                <w:lang w:val="en-GB"/>
              </w:rPr>
              <w:t xml:space="preserve"> </w:t>
            </w:r>
            <w:r w:rsidRPr="00F048F7">
              <w:rPr>
                <w:rFonts w:ascii="Arial" w:hAnsi="Arial" w:cs="Arial"/>
                <w:lang w:val="en-GB"/>
              </w:rPr>
              <w:t xml:space="preserve">the expectation is that these arrangements will be made at the level of the consortium agreement. When an Exploiting Party would leave the consortium, the overall arrangements regarding further execution of the KAVA when EIT Food Partners are leaving (see Art. </w:t>
            </w:r>
            <w:r>
              <w:rPr>
                <w:rFonts w:ascii="Arial" w:hAnsi="Arial" w:cs="Arial"/>
                <w:lang w:val="en-GB"/>
              </w:rPr>
              <w:t>32</w:t>
            </w:r>
            <w:r w:rsidRPr="00F048F7">
              <w:rPr>
                <w:rFonts w:ascii="Arial" w:hAnsi="Arial" w:cs="Arial"/>
                <w:lang w:val="en-GB"/>
              </w:rPr>
              <w:t xml:space="preserve"> of the </w:t>
            </w:r>
            <w:r>
              <w:rPr>
                <w:rFonts w:ascii="Arial" w:hAnsi="Arial" w:cs="Arial"/>
                <w:lang w:val="en-GB"/>
              </w:rPr>
              <w:t>MGA</w:t>
            </w:r>
            <w:r w:rsidRPr="00F048F7">
              <w:rPr>
                <w:rFonts w:ascii="Arial" w:hAnsi="Arial" w:cs="Arial"/>
                <w:lang w:val="en-GB"/>
              </w:rPr>
              <w:t>) will apply. Typically</w:t>
            </w:r>
            <w:r>
              <w:rPr>
                <w:rFonts w:ascii="Arial" w:hAnsi="Arial" w:cs="Arial"/>
                <w:lang w:val="en-GB"/>
              </w:rPr>
              <w:t>,</w:t>
            </w:r>
            <w:r w:rsidRPr="00F048F7">
              <w:rPr>
                <w:rFonts w:ascii="Arial" w:hAnsi="Arial" w:cs="Arial"/>
                <w:lang w:val="en-GB"/>
              </w:rPr>
              <w:t xml:space="preserve"> the tasks will be reallocated, appropriate amendments will have to be made. Also</w:t>
            </w:r>
            <w:r>
              <w:rPr>
                <w:rFonts w:ascii="Arial" w:hAnsi="Arial" w:cs="Arial"/>
                <w:lang w:val="en-GB"/>
              </w:rPr>
              <w:t>,</w:t>
            </w:r>
            <w:r w:rsidRPr="00F048F7">
              <w:rPr>
                <w:rFonts w:ascii="Arial" w:hAnsi="Arial" w:cs="Arial"/>
                <w:lang w:val="en-GB"/>
              </w:rPr>
              <w:t xml:space="preserve"> this Agreement would have to be amended in the event of a change of parties involved.</w:t>
            </w:r>
            <w:r w:rsidRPr="00CA681A">
              <w:rPr>
                <w:rFonts w:eastAsia="SimSun" w:cs="Calibri"/>
                <w:color w:val="000000"/>
                <w:lang w:val="en-US"/>
              </w:rPr>
              <w:t xml:space="preserve"> </w:t>
            </w:r>
          </w:p>
        </w:tc>
      </w:tr>
      <w:bookmarkEnd w:id="6"/>
    </w:tbl>
    <w:p w14:paraId="66341873" w14:textId="77777777" w:rsidR="003D4516" w:rsidRPr="00CA681A" w:rsidRDefault="003D4516" w:rsidP="003D4516">
      <w:pPr>
        <w:autoSpaceDE w:val="0"/>
        <w:autoSpaceDN w:val="0"/>
        <w:adjustRightInd w:val="0"/>
        <w:spacing w:before="120" w:after="0" w:line="240" w:lineRule="auto"/>
        <w:rPr>
          <w:rFonts w:ascii="Arial" w:hAnsi="Arial" w:cs="Arial"/>
          <w:color w:val="000000"/>
          <w:spacing w:val="-3"/>
          <w:lang w:val="en-US"/>
        </w:rPr>
      </w:pPr>
    </w:p>
    <w:p w14:paraId="779ADBED" w14:textId="77777777" w:rsidR="003D4516" w:rsidRDefault="003D4516" w:rsidP="003D4516">
      <w:pPr>
        <w:autoSpaceDE w:val="0"/>
        <w:autoSpaceDN w:val="0"/>
        <w:adjustRightInd w:val="0"/>
        <w:spacing w:before="120" w:after="0" w:line="240" w:lineRule="auto"/>
        <w:jc w:val="both"/>
        <w:rPr>
          <w:rFonts w:ascii="Arial" w:hAnsi="Arial" w:cs="Arial"/>
          <w:lang w:val="en-GB"/>
        </w:rPr>
      </w:pPr>
      <w:r w:rsidRPr="00930D0E">
        <w:rPr>
          <w:rFonts w:ascii="Arial" w:hAnsi="Arial" w:cs="Arial"/>
          <w:b/>
          <w:lang w:val="en-GB"/>
        </w:rPr>
        <w:t>“</w:t>
      </w:r>
      <w:r w:rsidRPr="00CA681A">
        <w:rPr>
          <w:rFonts w:ascii="Arial" w:hAnsi="Arial" w:cs="Arial"/>
          <w:b/>
          <w:lang w:val="en-US"/>
        </w:rPr>
        <w:t>KIC Added Value Activity” or “KAVA”</w:t>
      </w:r>
      <w:r w:rsidRPr="00930D0E">
        <w:rPr>
          <w:rFonts w:ascii="Arial" w:hAnsi="Arial" w:cs="Arial"/>
          <w:lang w:val="en-GB"/>
        </w:rPr>
        <w:t xml:space="preserve"> shall mean the KIC</w:t>
      </w:r>
      <w:r w:rsidRPr="00F553DB">
        <w:rPr>
          <w:rFonts w:ascii="Arial" w:hAnsi="Arial" w:cs="Arial"/>
          <w:lang w:val="en-GB"/>
        </w:rPr>
        <w:t xml:space="preserve"> Activity as defined in the PA, Article 2 partially or wholly funded by the EIT under the framework of the PA and the </w:t>
      </w:r>
      <w:r>
        <w:rPr>
          <w:rFonts w:ascii="Arial" w:hAnsi="Arial" w:cs="Arial"/>
          <w:lang w:val="en-GB"/>
        </w:rPr>
        <w:t>M</w:t>
      </w:r>
      <w:r w:rsidRPr="00F553DB">
        <w:rPr>
          <w:rFonts w:ascii="Arial" w:hAnsi="Arial" w:cs="Arial"/>
          <w:lang w:val="en-GB"/>
        </w:rPr>
        <w:t>GA, with reference</w:t>
      </w:r>
      <w:r>
        <w:rPr>
          <w:rFonts w:ascii="Arial" w:hAnsi="Arial" w:cs="Arial"/>
          <w:lang w:val="en-GB"/>
        </w:rPr>
        <w:t>”</w:t>
      </w:r>
      <w:r w:rsidRPr="00F553DB">
        <w:rPr>
          <w:rFonts w:ascii="Arial" w:hAnsi="Arial" w:cs="Arial"/>
          <w:lang w:val="en-GB"/>
        </w:rPr>
        <w:t xml:space="preserve"> </w:t>
      </w:r>
      <w:r>
        <w:rPr>
          <w:rFonts w:ascii="Arial" w:hAnsi="Arial" w:cs="Arial"/>
          <w:lang w:val="en-GB"/>
        </w:rPr>
        <w:t xml:space="preserve">_______________” </w:t>
      </w:r>
      <w:r w:rsidRPr="00F553DB">
        <w:rPr>
          <w:rFonts w:ascii="Arial" w:hAnsi="Arial" w:cs="Arial"/>
          <w:lang w:val="en-GB"/>
        </w:rPr>
        <w:t>carried out by the EIT Food Partner, or by it in co-operation with other entities.</w:t>
      </w:r>
    </w:p>
    <w:p w14:paraId="0AF3FF5F" w14:textId="77777777" w:rsidR="003D4516" w:rsidRDefault="003D4516" w:rsidP="003D4516">
      <w:pPr>
        <w:autoSpaceDE w:val="0"/>
        <w:autoSpaceDN w:val="0"/>
        <w:adjustRightInd w:val="0"/>
        <w:spacing w:before="120" w:after="0" w:line="240" w:lineRule="auto"/>
        <w:jc w:val="both"/>
        <w:rPr>
          <w:rFonts w:ascii="Arial" w:hAnsi="Arial" w:cs="Arial"/>
          <w:lang w:val="en-GB"/>
        </w:rPr>
      </w:pPr>
    </w:p>
    <w:p w14:paraId="4D98A51F" w14:textId="77777777" w:rsidR="003D4516" w:rsidRDefault="003D4516" w:rsidP="003D4516">
      <w:pPr>
        <w:autoSpaceDE w:val="0"/>
        <w:autoSpaceDN w:val="0"/>
        <w:adjustRightInd w:val="0"/>
        <w:spacing w:before="120" w:after="0" w:line="240" w:lineRule="auto"/>
        <w:jc w:val="both"/>
        <w:rPr>
          <w:rFonts w:ascii="Arial" w:hAnsi="Arial" w:cs="Arial"/>
          <w:lang w:val="en-GB"/>
        </w:rPr>
      </w:pPr>
      <w:r w:rsidRPr="00F553DB">
        <w:rPr>
          <w:rFonts w:ascii="Arial" w:hAnsi="Arial" w:cs="Arial"/>
          <w:b/>
          <w:lang w:val="en-GB"/>
        </w:rPr>
        <w:t>“</w:t>
      </w:r>
      <w:r w:rsidRPr="00CA681A">
        <w:rPr>
          <w:rFonts w:ascii="Arial" w:hAnsi="Arial" w:cs="Arial"/>
          <w:b/>
          <w:color w:val="000000"/>
          <w:spacing w:val="-3"/>
          <w:lang w:val="en-US"/>
        </w:rPr>
        <w:t>Result(s)</w:t>
      </w:r>
      <w:r>
        <w:rPr>
          <w:rFonts w:ascii="Arial" w:hAnsi="Arial" w:cs="Arial"/>
          <w:b/>
          <w:color w:val="000000"/>
          <w:spacing w:val="-3"/>
          <w:lang w:val="en-US"/>
        </w:rPr>
        <w:t>”</w:t>
      </w:r>
      <w:r w:rsidRPr="00CA681A">
        <w:rPr>
          <w:rFonts w:ascii="Arial" w:hAnsi="Arial" w:cs="Arial"/>
          <w:color w:val="000000"/>
          <w:spacing w:val="-3"/>
          <w:lang w:val="en-US"/>
        </w:rPr>
        <w:t xml:space="preserve"> </w:t>
      </w:r>
      <w:r w:rsidRPr="00F553DB">
        <w:rPr>
          <w:rFonts w:ascii="Arial" w:hAnsi="Arial" w:cs="Arial"/>
          <w:lang w:val="en-GB"/>
        </w:rPr>
        <w:t xml:space="preserve">shall mean any tangible or intangible output of the KAVA, such as data, </w:t>
      </w:r>
      <w:proofErr w:type="gramStart"/>
      <w:r w:rsidRPr="00F553DB">
        <w:rPr>
          <w:rFonts w:ascii="Arial" w:hAnsi="Arial" w:cs="Arial"/>
          <w:lang w:val="en-GB"/>
        </w:rPr>
        <w:t>knowledge</w:t>
      </w:r>
      <w:proofErr w:type="gramEnd"/>
      <w:r w:rsidRPr="00F553DB">
        <w:rPr>
          <w:rFonts w:ascii="Arial" w:hAnsi="Arial" w:cs="Arial"/>
          <w:lang w:val="en-GB"/>
        </w:rPr>
        <w:t xml:space="preserve"> and information whatever their form or nature, whether or not they can be protected, which are generated in the KAVA.</w:t>
      </w:r>
    </w:p>
    <w:bookmarkEnd w:id="4"/>
    <w:p w14:paraId="74036648" w14:textId="77777777" w:rsidR="003D4516" w:rsidRDefault="003D4516" w:rsidP="003D4516">
      <w:pPr>
        <w:autoSpaceDE w:val="0"/>
        <w:autoSpaceDN w:val="0"/>
        <w:adjustRightInd w:val="0"/>
        <w:spacing w:before="120" w:after="0" w:line="240" w:lineRule="auto"/>
        <w:rPr>
          <w:rFonts w:ascii="Arial" w:hAnsi="Arial" w:cs="Arial"/>
          <w:lang w:val="en-GB"/>
        </w:rPr>
      </w:pPr>
    </w:p>
    <w:p w14:paraId="4177D80F" w14:textId="77777777" w:rsidR="003D4516" w:rsidRPr="00CA681A" w:rsidRDefault="003D4516" w:rsidP="003D4516">
      <w:pPr>
        <w:autoSpaceDE w:val="0"/>
        <w:autoSpaceDN w:val="0"/>
        <w:adjustRightInd w:val="0"/>
        <w:spacing w:before="120" w:after="0" w:line="240" w:lineRule="auto"/>
        <w:jc w:val="both"/>
        <w:rPr>
          <w:rFonts w:ascii="Arial" w:hAnsi="Arial" w:cs="Arial"/>
          <w:lang w:val="en-US"/>
        </w:rPr>
      </w:pPr>
      <w:r w:rsidRPr="00291C7F">
        <w:rPr>
          <w:rFonts w:ascii="Arial" w:hAnsi="Arial" w:cs="Arial"/>
          <w:b/>
          <w:bCs/>
          <w:lang w:val="en-GB"/>
        </w:rPr>
        <w:t>“Term-Sheet”</w:t>
      </w:r>
      <w:r>
        <w:rPr>
          <w:rFonts w:ascii="Arial" w:hAnsi="Arial" w:cs="Arial"/>
          <w:lang w:val="en-GB"/>
        </w:rPr>
        <w:t xml:space="preserve"> shall mean the attached document as Annex I to this Agreement, including the details of the financial conditions and Revenue Sharing mechanism agreed between EIT Food and the Consortium, for the exploitation of the results of the KAVA “___________________________________”</w:t>
      </w:r>
    </w:p>
    <w:p w14:paraId="2DA893B0" w14:textId="77777777" w:rsidR="003D4516" w:rsidRDefault="003D4516" w:rsidP="003D4516">
      <w:pPr>
        <w:pStyle w:val="Heading1"/>
        <w:jc w:val="both"/>
        <w:rPr>
          <w:rFonts w:ascii="Arial" w:hAnsi="Arial" w:cs="Arial"/>
          <w:color w:val="auto"/>
          <w:szCs w:val="22"/>
        </w:rPr>
      </w:pPr>
      <w:r>
        <w:rPr>
          <w:rFonts w:ascii="Arial" w:hAnsi="Arial" w:cs="Arial"/>
          <w:color w:val="auto"/>
          <w:szCs w:val="22"/>
        </w:rPr>
        <w:t>GENERIC</w:t>
      </w:r>
    </w:p>
    <w:p w14:paraId="3736916B" w14:textId="77777777" w:rsidR="003D4516" w:rsidRDefault="003D4516" w:rsidP="003D4516">
      <w:pPr>
        <w:pStyle w:val="Heading1"/>
        <w:jc w:val="both"/>
        <w:rPr>
          <w:rFonts w:ascii="Arial" w:hAnsi="Arial" w:cs="Arial"/>
          <w:color w:val="auto"/>
          <w:szCs w:val="22"/>
        </w:rPr>
      </w:pPr>
    </w:p>
    <w:p w14:paraId="43757E7A" w14:textId="77777777" w:rsidR="003D4516" w:rsidRDefault="003D4516" w:rsidP="003D4516">
      <w:pPr>
        <w:pStyle w:val="Heading1"/>
        <w:jc w:val="both"/>
        <w:rPr>
          <w:rFonts w:ascii="Arial" w:hAnsi="Arial" w:cs="Arial"/>
          <w:color w:val="auto"/>
          <w:szCs w:val="22"/>
        </w:rPr>
      </w:pPr>
      <w:r w:rsidRPr="0027732F">
        <w:rPr>
          <w:rFonts w:ascii="Arial" w:hAnsi="Arial" w:cs="Arial"/>
          <w:color w:val="auto"/>
          <w:szCs w:val="22"/>
        </w:rPr>
        <w:t>Article 2:</w:t>
      </w:r>
      <w:r>
        <w:rPr>
          <w:rFonts w:ascii="Arial" w:hAnsi="Arial" w:cs="Arial"/>
          <w:color w:val="auto"/>
          <w:szCs w:val="22"/>
        </w:rPr>
        <w:t xml:space="preserve"> Purpose &amp; Exploitation Conditions.</w:t>
      </w:r>
    </w:p>
    <w:p w14:paraId="0D81E88A" w14:textId="77777777" w:rsidR="003D4516" w:rsidRPr="00585590" w:rsidRDefault="003D4516" w:rsidP="003D4516"/>
    <w:p w14:paraId="4BC29DEB" w14:textId="77777777" w:rsidR="003D4516" w:rsidRDefault="003D4516" w:rsidP="003D4516">
      <w:pPr>
        <w:jc w:val="both"/>
        <w:rPr>
          <w:rFonts w:ascii="Arial" w:hAnsi="Arial" w:cs="Arial"/>
          <w:lang w:val="en-GB"/>
        </w:rPr>
      </w:pPr>
      <w:r>
        <w:rPr>
          <w:rFonts w:ascii="Arial" w:hAnsi="Arial" w:cs="Arial"/>
          <w:lang w:val="en-GB"/>
        </w:rPr>
        <w:t>2.1 EIT Food</w:t>
      </w:r>
      <w:r w:rsidRPr="00104615">
        <w:rPr>
          <w:rFonts w:ascii="Arial" w:hAnsi="Arial" w:cs="Arial"/>
          <w:lang w:val="en-GB"/>
        </w:rPr>
        <w:t xml:space="preserve"> Partner</w:t>
      </w:r>
      <w:r>
        <w:rPr>
          <w:rFonts w:ascii="Arial" w:hAnsi="Arial" w:cs="Arial"/>
          <w:lang w:val="en-GB"/>
        </w:rPr>
        <w:t>s</w:t>
      </w:r>
      <w:r w:rsidRPr="00104615">
        <w:rPr>
          <w:rFonts w:ascii="Arial" w:hAnsi="Arial" w:cs="Arial"/>
          <w:lang w:val="en-GB"/>
        </w:rPr>
        <w:t xml:space="preserve"> </w:t>
      </w:r>
      <w:r>
        <w:rPr>
          <w:rFonts w:ascii="Arial" w:hAnsi="Arial" w:cs="Arial"/>
          <w:lang w:val="en-GB"/>
        </w:rPr>
        <w:t>acknowledge and agree that the KIC EIT Food is under the requirement to develop sustainability mechanisms, since financial sustainability is a key requirement from EIT for the KIC EIT Food.</w:t>
      </w:r>
    </w:p>
    <w:p w14:paraId="04312B86" w14:textId="77777777" w:rsidR="003D4516" w:rsidRPr="008D31F7" w:rsidRDefault="003D4516" w:rsidP="003D4516">
      <w:pPr>
        <w:jc w:val="both"/>
        <w:rPr>
          <w:rFonts w:ascii="Arial" w:hAnsi="Arial" w:cs="Arial"/>
          <w:lang w:val="en-GB"/>
        </w:rPr>
      </w:pPr>
      <w:r>
        <w:rPr>
          <w:rFonts w:ascii="Arial" w:hAnsi="Arial" w:cs="Arial"/>
          <w:lang w:val="en-GB"/>
        </w:rPr>
        <w:t xml:space="preserve">Parties acknowledge the obligations of EIT Food Partners under Article 16 of the MGA to </w:t>
      </w:r>
      <w:r w:rsidRPr="008D31F7">
        <w:rPr>
          <w:rFonts w:ascii="Arial" w:hAnsi="Arial" w:cs="Arial"/>
          <w:lang w:val="en-GB"/>
        </w:rPr>
        <w:t xml:space="preserve">take measures aiming to ensure ‘exploitation’ of the results of the KAVA. </w:t>
      </w:r>
    </w:p>
    <w:p w14:paraId="6D5F5D6A" w14:textId="77777777" w:rsidR="003D4516" w:rsidRPr="00F048F7" w:rsidRDefault="003D4516" w:rsidP="003D4516">
      <w:pPr>
        <w:jc w:val="both"/>
        <w:rPr>
          <w:rFonts w:ascii="Arial" w:hAnsi="Arial" w:cs="Arial"/>
          <w:lang w:val="en-GB"/>
        </w:rPr>
      </w:pPr>
      <w:r>
        <w:rPr>
          <w:rFonts w:ascii="Arial" w:hAnsi="Arial" w:cs="Arial"/>
          <w:lang w:val="en-GB"/>
        </w:rPr>
        <w:t xml:space="preserve">2.2 </w:t>
      </w:r>
      <w:r w:rsidRPr="008D31F7">
        <w:rPr>
          <w:rFonts w:ascii="Arial" w:hAnsi="Arial" w:cs="Arial"/>
          <w:lang w:val="en-GB"/>
        </w:rPr>
        <w:t xml:space="preserve">KIC LE acknowledges that the decision to Exploit and the best manner how to Exploit the Results of the KAVA vest </w:t>
      </w:r>
      <w:r>
        <w:rPr>
          <w:rFonts w:ascii="Arial" w:hAnsi="Arial" w:cs="Arial"/>
          <w:lang w:val="en-GB"/>
        </w:rPr>
        <w:t>with</w:t>
      </w:r>
      <w:r w:rsidRPr="008D31F7">
        <w:rPr>
          <w:rFonts w:ascii="Arial" w:hAnsi="Arial" w:cs="Arial"/>
          <w:lang w:val="en-GB"/>
        </w:rPr>
        <w:t xml:space="preserve"> EIT Food Partners at their discretion. KIC LE expects EIT Food Partners to make </w:t>
      </w:r>
      <w:r>
        <w:rPr>
          <w:rFonts w:ascii="Arial" w:hAnsi="Arial" w:cs="Arial"/>
          <w:lang w:val="en-GB"/>
        </w:rPr>
        <w:t xml:space="preserve">the necessary </w:t>
      </w:r>
      <w:r w:rsidRPr="008D31F7">
        <w:rPr>
          <w:rFonts w:ascii="Arial" w:hAnsi="Arial" w:cs="Arial"/>
          <w:lang w:val="en-GB"/>
        </w:rPr>
        <w:t>arrangements between themselves in this r</w:t>
      </w:r>
      <w:r>
        <w:rPr>
          <w:rFonts w:ascii="Arial" w:hAnsi="Arial" w:cs="Arial"/>
          <w:lang w:val="en-GB"/>
        </w:rPr>
        <w:t>egard</w:t>
      </w:r>
      <w:r w:rsidRPr="008D31F7">
        <w:rPr>
          <w:rFonts w:ascii="Arial" w:hAnsi="Arial" w:cs="Arial"/>
          <w:lang w:val="en-GB"/>
        </w:rPr>
        <w:t>, to be reflected in the Consortium Agreement for</w:t>
      </w:r>
      <w:r>
        <w:rPr>
          <w:rFonts w:ascii="Arial" w:hAnsi="Arial" w:cs="Arial"/>
          <w:lang w:val="en-GB"/>
        </w:rPr>
        <w:t xml:space="preserve"> </w:t>
      </w:r>
      <w:r w:rsidRPr="008D31F7">
        <w:rPr>
          <w:rFonts w:ascii="Arial" w:hAnsi="Arial" w:cs="Arial"/>
          <w:lang w:val="en-GB"/>
        </w:rPr>
        <w:t xml:space="preserve">the </w:t>
      </w:r>
      <w:r w:rsidRPr="00F048F7">
        <w:rPr>
          <w:rFonts w:ascii="Arial" w:hAnsi="Arial" w:cs="Arial"/>
          <w:lang w:val="en-GB"/>
        </w:rPr>
        <w:t>KAVA or other agreements between EIT Food Partners.</w:t>
      </w:r>
    </w:p>
    <w:p w14:paraId="7E8F8C03" w14:textId="77777777" w:rsidR="003D4516" w:rsidRDefault="003D4516" w:rsidP="003D4516">
      <w:pPr>
        <w:jc w:val="both"/>
        <w:rPr>
          <w:rFonts w:ascii="Arial" w:hAnsi="Arial" w:cs="Arial"/>
          <w:lang w:val="en-GB"/>
        </w:rPr>
      </w:pPr>
      <w:r w:rsidRPr="00F048F7">
        <w:rPr>
          <w:rFonts w:ascii="Arial" w:hAnsi="Arial" w:cs="Arial"/>
          <w:lang w:val="en-GB"/>
        </w:rPr>
        <w:lastRenderedPageBreak/>
        <w:t xml:space="preserve">2.3 In order to fulfil the sustainability requirements from EIT Food, EIT Food Partners agree </w:t>
      </w:r>
      <w:r>
        <w:rPr>
          <w:rFonts w:ascii="Arial" w:hAnsi="Arial" w:cs="Arial"/>
          <w:lang w:val="en-GB"/>
        </w:rPr>
        <w:t xml:space="preserve">that the Revenue Sharing Mechanism </w:t>
      </w:r>
      <w:r w:rsidRPr="00F048F7">
        <w:rPr>
          <w:rFonts w:ascii="Arial" w:hAnsi="Arial" w:cs="Arial"/>
          <w:lang w:val="en-GB"/>
        </w:rPr>
        <w:t>will be due in case of Exploitation of the Results of the KAVA</w:t>
      </w:r>
      <w:r>
        <w:rPr>
          <w:rFonts w:ascii="Arial" w:hAnsi="Arial" w:cs="Arial"/>
          <w:lang w:val="en-GB"/>
        </w:rPr>
        <w:t xml:space="preserve"> and the obtention of revenues arising from said Exploitation.</w:t>
      </w:r>
    </w:p>
    <w:p w14:paraId="63FB4D7E" w14:textId="3D81A771" w:rsidR="003D4516" w:rsidRPr="00585590" w:rsidRDefault="003D4516" w:rsidP="003D4516">
      <w:pPr>
        <w:jc w:val="both"/>
        <w:rPr>
          <w:rFonts w:ascii="Arial" w:hAnsi="Arial" w:cs="Arial"/>
          <w:lang w:val="en-US"/>
        </w:rPr>
      </w:pPr>
      <w:r>
        <w:rPr>
          <w:rFonts w:ascii="Arial" w:hAnsi="Arial" w:cs="Arial"/>
          <w:lang w:val="en-GB"/>
        </w:rPr>
        <w:t xml:space="preserve">2.4 The EIT Food Partners acknowledges and agree that the Exploitation of the Results of the KAVA shall start at term agreed for the exploitation and detailed in the Term- Sheet (the “Exploitation Period”) and at the latest 2 years after the KAVA ends and will last a maximum of six years after the end of the KAVA (hereinafter the </w:t>
      </w:r>
      <w:r w:rsidR="00F314AE">
        <w:rPr>
          <w:rFonts w:ascii="Arial" w:hAnsi="Arial" w:cs="Arial"/>
          <w:lang w:val="en-GB"/>
        </w:rPr>
        <w:t>“Maximum</w:t>
      </w:r>
      <w:r>
        <w:rPr>
          <w:rFonts w:ascii="Arial" w:hAnsi="Arial" w:cs="Arial"/>
          <w:lang w:val="en-GB"/>
        </w:rPr>
        <w:t xml:space="preserve"> Exploitation Period”). </w:t>
      </w:r>
      <w:r>
        <w:rPr>
          <w:rFonts w:ascii="Arial" w:hAnsi="Arial" w:cs="Arial"/>
          <w:lang w:val="en-US"/>
        </w:rPr>
        <w:t xml:space="preserve">In case the exploitation doesn’t achieve the amount/percentage included in the Term- Sheet the exploitation shall </w:t>
      </w:r>
      <w:r w:rsidRPr="000F3543">
        <w:rPr>
          <w:rFonts w:ascii="Arial" w:hAnsi="Arial" w:cs="Arial"/>
          <w:lang w:val="en-US"/>
        </w:rPr>
        <w:t>continue until said percentage is achieved, with the limit of six years after the start year.</w:t>
      </w:r>
    </w:p>
    <w:p w14:paraId="3AD8C519" w14:textId="77777777" w:rsidR="003D4516" w:rsidRDefault="003D4516" w:rsidP="003D4516">
      <w:pPr>
        <w:jc w:val="both"/>
        <w:rPr>
          <w:rFonts w:ascii="Arial" w:hAnsi="Arial" w:cs="Arial"/>
          <w:lang w:val="en-GB"/>
        </w:rPr>
      </w:pPr>
      <w:r>
        <w:rPr>
          <w:rFonts w:ascii="Arial" w:hAnsi="Arial" w:cs="Arial"/>
          <w:lang w:val="en-GB"/>
        </w:rPr>
        <w:t>The KIC LE shall perform regular evaluations on the progress of the exploitation during the exploitation Period and shall maintain ongoing discussions in good faith with the Exploiting Partners regarding the progress of the exploitation (hereinafter the “Exploitation Review’’)</w:t>
      </w:r>
    </w:p>
    <w:p w14:paraId="290E2042" w14:textId="77777777" w:rsidR="003D4516" w:rsidRDefault="003D4516" w:rsidP="003D4516">
      <w:pPr>
        <w:jc w:val="both"/>
        <w:rPr>
          <w:rFonts w:ascii="Arial" w:hAnsi="Arial" w:cs="Arial"/>
          <w:lang w:val="en-GB"/>
        </w:rPr>
      </w:pPr>
      <w:r>
        <w:rPr>
          <w:rFonts w:ascii="Arial" w:hAnsi="Arial" w:cs="Arial"/>
          <w:lang w:val="en-GB"/>
        </w:rPr>
        <w:t>2.5 EIT Food Partners in the KAVA will make their best efforts to exploit the Results during the Exploitation Period, and if at any moment during the Exploitation Period and after the Exploitation Review, the</w:t>
      </w:r>
      <w:r w:rsidRPr="00BD56DB">
        <w:rPr>
          <w:rFonts w:ascii="Arial" w:hAnsi="Arial" w:cs="Arial"/>
          <w:lang w:val="en-US"/>
        </w:rPr>
        <w:t xml:space="preserve"> KIC LE</w:t>
      </w:r>
      <w:r>
        <w:rPr>
          <w:rFonts w:ascii="Arial" w:hAnsi="Arial" w:cs="Arial"/>
          <w:lang w:val="en-US"/>
        </w:rPr>
        <w:t xml:space="preserve"> in accordance with the </w:t>
      </w:r>
      <w:r>
        <w:rPr>
          <w:rFonts w:ascii="Arial" w:hAnsi="Arial" w:cs="Arial"/>
          <w:lang w:val="en-GB"/>
        </w:rPr>
        <w:t xml:space="preserve">EIT Food Partners </w:t>
      </w:r>
      <w:r>
        <w:rPr>
          <w:rFonts w:ascii="Arial" w:hAnsi="Arial" w:cs="Arial"/>
          <w:lang w:val="en-US"/>
        </w:rPr>
        <w:t>consider</w:t>
      </w:r>
      <w:r w:rsidRPr="00BD56DB">
        <w:rPr>
          <w:rFonts w:ascii="Arial" w:hAnsi="Arial" w:cs="Arial"/>
          <w:lang w:val="en-US"/>
        </w:rPr>
        <w:t xml:space="preserve"> that</w:t>
      </w:r>
      <w:r>
        <w:rPr>
          <w:rFonts w:ascii="Arial" w:hAnsi="Arial" w:cs="Arial"/>
          <w:lang w:val="en-GB"/>
        </w:rPr>
        <w:t xml:space="preserve"> the exploitation Results has not or is expected not to generate any revenues, the EIT Food Partners shall grant to KIC LE additional Access Rights, as further described in PART II Article 9 of this Agreement. </w:t>
      </w:r>
    </w:p>
    <w:p w14:paraId="1DF84517" w14:textId="77777777" w:rsidR="003D4516" w:rsidRDefault="003D4516" w:rsidP="003D4516">
      <w:pPr>
        <w:jc w:val="both"/>
        <w:rPr>
          <w:rFonts w:ascii="Arial" w:hAnsi="Arial" w:cs="Arial"/>
          <w:lang w:val="en-GB"/>
        </w:rPr>
      </w:pPr>
      <w:r>
        <w:rPr>
          <w:rFonts w:ascii="Arial" w:hAnsi="Arial" w:cs="Arial"/>
          <w:lang w:val="en-GB"/>
        </w:rPr>
        <w:t xml:space="preserve">Moreover, in such case, the payment of a lump sum and/or revenue sharing shall not be due by EIT Food Partners, and the KIC Partners shall commit to stop the exploitation of the Results and will sign a commitment letter with the confirmation of the cease of the exploitation that shall be submitted to KIC LE. </w:t>
      </w:r>
    </w:p>
    <w:p w14:paraId="587F5746" w14:textId="00E83243" w:rsidR="003D4516" w:rsidRDefault="003D4516" w:rsidP="003D4516">
      <w:pPr>
        <w:jc w:val="both"/>
        <w:rPr>
          <w:rFonts w:ascii="Arial" w:hAnsi="Arial" w:cs="Arial"/>
          <w:lang w:val="en-GB"/>
        </w:rPr>
      </w:pPr>
      <w:r>
        <w:rPr>
          <w:rFonts w:ascii="Arial" w:hAnsi="Arial" w:cs="Arial"/>
          <w:lang w:val="en-GB"/>
        </w:rPr>
        <w:t xml:space="preserve">2.6 The KIC Partners shall be liable towards the KIC LE for the infringement of the commitment of cease of the exploitation </w:t>
      </w:r>
      <w:r w:rsidRPr="00D10C4A">
        <w:rPr>
          <w:rFonts w:ascii="Arial" w:hAnsi="Arial" w:cs="Arial"/>
          <w:lang w:val="en-GB"/>
        </w:rPr>
        <w:t>and will indemnify</w:t>
      </w:r>
      <w:r>
        <w:rPr>
          <w:rFonts w:ascii="Arial" w:hAnsi="Arial" w:cs="Arial"/>
          <w:lang w:val="en-GB"/>
        </w:rPr>
        <w:t xml:space="preserve"> KIC LE in an amount equal to the ___% </w:t>
      </w:r>
      <w:r w:rsidR="0031757D">
        <w:rPr>
          <w:rFonts w:ascii="Arial" w:hAnsi="Arial" w:cs="Arial"/>
          <w:lang w:val="en-GB"/>
        </w:rPr>
        <w:t>of the</w:t>
      </w:r>
      <w:r>
        <w:rPr>
          <w:rFonts w:ascii="Arial" w:hAnsi="Arial" w:cs="Arial"/>
          <w:lang w:val="en-GB"/>
        </w:rPr>
        <w:t xml:space="preserve"> revenues obtained by the KIC Partners for the exploitation of the Results, after the signature of </w:t>
      </w:r>
      <w:r w:rsidR="0031757D">
        <w:rPr>
          <w:rFonts w:ascii="Arial" w:hAnsi="Arial" w:cs="Arial"/>
          <w:lang w:val="en-GB"/>
        </w:rPr>
        <w:t>the commitment</w:t>
      </w:r>
      <w:r>
        <w:rPr>
          <w:rFonts w:ascii="Arial" w:hAnsi="Arial" w:cs="Arial"/>
          <w:lang w:val="en-GB"/>
        </w:rPr>
        <w:t xml:space="preserve"> of cease of exploitation.</w:t>
      </w:r>
      <w:r w:rsidRPr="00D10C4A">
        <w:rPr>
          <w:rFonts w:ascii="Arial" w:hAnsi="Arial" w:cs="Arial"/>
          <w:lang w:val="en-GB"/>
        </w:rPr>
        <w:t xml:space="preserve"> The liability of </w:t>
      </w:r>
      <w:r>
        <w:rPr>
          <w:rFonts w:ascii="Arial" w:hAnsi="Arial" w:cs="Arial"/>
          <w:lang w:val="en-GB"/>
        </w:rPr>
        <w:t xml:space="preserve">EIT Food Partners for said infringement </w:t>
      </w:r>
      <w:r w:rsidRPr="00D10C4A">
        <w:rPr>
          <w:rFonts w:ascii="Arial" w:hAnsi="Arial" w:cs="Arial"/>
          <w:lang w:val="en-GB"/>
        </w:rPr>
        <w:t>shall in any case be limited to the amoun</w:t>
      </w:r>
      <w:r>
        <w:rPr>
          <w:rFonts w:ascii="Arial" w:hAnsi="Arial" w:cs="Arial"/>
          <w:lang w:val="en-GB"/>
        </w:rPr>
        <w:t>t equal to the__</w:t>
      </w:r>
      <w:r w:rsidRPr="00747D82">
        <w:rPr>
          <w:rFonts w:ascii="Arial" w:hAnsi="Arial" w:cs="Arial"/>
          <w:lang w:val="en-GB"/>
        </w:rPr>
        <w:t>% of the total EIT funding for the KAVA as agreed with EIT per the Amendment to the Grant Agreement in the relevant year</w:t>
      </w:r>
      <w:r>
        <w:rPr>
          <w:rFonts w:ascii="Arial" w:hAnsi="Arial" w:cs="Arial"/>
          <w:lang w:val="en-GB"/>
        </w:rPr>
        <w:t>.</w:t>
      </w:r>
    </w:p>
    <w:p w14:paraId="2844030E" w14:textId="77777777" w:rsidR="003D4516" w:rsidRDefault="003D4516" w:rsidP="003D4516">
      <w:pPr>
        <w:jc w:val="both"/>
        <w:rPr>
          <w:rFonts w:ascii="Arial" w:hAnsi="Arial" w:cs="Arial"/>
          <w:lang w:val="en-GB"/>
        </w:rPr>
      </w:pPr>
    </w:p>
    <w:p w14:paraId="5435F5C5" w14:textId="77777777" w:rsidR="003D4516" w:rsidRPr="008E3B06" w:rsidRDefault="003D4516" w:rsidP="003D4516">
      <w:pPr>
        <w:pStyle w:val="Heading1"/>
        <w:jc w:val="both"/>
        <w:rPr>
          <w:rFonts w:ascii="Arial" w:hAnsi="Arial" w:cs="Arial"/>
          <w:color w:val="auto"/>
          <w:szCs w:val="22"/>
        </w:rPr>
      </w:pPr>
      <w:r w:rsidRPr="00767F35">
        <w:rPr>
          <w:rFonts w:ascii="Arial" w:hAnsi="Arial" w:cs="Arial"/>
          <w:color w:val="auto"/>
          <w:szCs w:val="22"/>
        </w:rPr>
        <w:t xml:space="preserve">Article 3:  </w:t>
      </w:r>
      <w:r>
        <w:rPr>
          <w:rFonts w:ascii="Arial" w:hAnsi="Arial" w:cs="Arial"/>
          <w:color w:val="auto"/>
          <w:szCs w:val="22"/>
        </w:rPr>
        <w:t>Revenue Sharing</w:t>
      </w:r>
      <w:r w:rsidRPr="00767F35">
        <w:rPr>
          <w:rFonts w:ascii="Arial" w:hAnsi="Arial" w:cs="Arial"/>
          <w:color w:val="auto"/>
          <w:szCs w:val="22"/>
        </w:rPr>
        <w:t xml:space="preserve"> Mechanism Amount – Payment &amp; Invoicing- Verification </w:t>
      </w:r>
    </w:p>
    <w:p w14:paraId="35225D8F" w14:textId="77777777" w:rsidR="003D4516" w:rsidRDefault="003D4516" w:rsidP="003D4516">
      <w:pPr>
        <w:jc w:val="both"/>
        <w:rPr>
          <w:rFonts w:ascii="Arial" w:hAnsi="Arial" w:cs="Arial"/>
          <w:bCs/>
          <w:lang w:val="en-US"/>
        </w:rPr>
      </w:pPr>
    </w:p>
    <w:p w14:paraId="026C0C5F" w14:textId="298E0832" w:rsidR="003D4516" w:rsidRPr="00585590" w:rsidRDefault="003D4516" w:rsidP="003D4516">
      <w:pPr>
        <w:jc w:val="both"/>
        <w:rPr>
          <w:rFonts w:ascii="Arial" w:hAnsi="Arial" w:cs="Arial"/>
          <w:lang w:val="en-US"/>
        </w:rPr>
      </w:pPr>
      <w:r>
        <w:rPr>
          <w:rFonts w:ascii="Arial" w:hAnsi="Arial" w:cs="Arial"/>
          <w:bCs/>
          <w:lang w:val="en-US"/>
        </w:rPr>
        <w:t xml:space="preserve">The KAVA will contribute to the Financial Sustainability of the KIC LE (EIT Food </w:t>
      </w:r>
      <w:proofErr w:type="spellStart"/>
      <w:r>
        <w:rPr>
          <w:rFonts w:ascii="Arial" w:hAnsi="Arial" w:cs="Arial"/>
          <w:bCs/>
          <w:lang w:val="en-US"/>
        </w:rPr>
        <w:t>ivzw</w:t>
      </w:r>
      <w:proofErr w:type="spellEnd"/>
      <w:r>
        <w:rPr>
          <w:rFonts w:ascii="Arial" w:hAnsi="Arial" w:cs="Arial"/>
          <w:bCs/>
          <w:lang w:val="en-US"/>
        </w:rPr>
        <w:t>) in case of successful exploitation of the results by means of the agreed Revenue Sharing Mechanism as described and further detailed in the Term-Sheet.</w:t>
      </w:r>
      <w:r w:rsidRPr="00E5669A">
        <w:rPr>
          <w:rFonts w:ascii="Arial" w:hAnsi="Arial" w:cs="Arial"/>
          <w:lang w:val="en-GB"/>
        </w:rPr>
        <w:t xml:space="preserve"> </w:t>
      </w:r>
      <w:r>
        <w:rPr>
          <w:rFonts w:ascii="Arial" w:hAnsi="Arial" w:cs="Arial"/>
          <w:lang w:val="en-GB"/>
        </w:rPr>
        <w:t xml:space="preserve"> The revenue Sharing detailed in the Term- Sheet shall be </w:t>
      </w:r>
      <w:r w:rsidRPr="0031757D">
        <w:rPr>
          <w:rFonts w:ascii="Arial" w:hAnsi="Arial" w:cs="Arial"/>
          <w:lang w:val="en-GB"/>
        </w:rPr>
        <w:t xml:space="preserve">deemed to cover </w:t>
      </w:r>
      <w:r w:rsidR="00F314AE" w:rsidRPr="0031757D">
        <w:rPr>
          <w:rFonts w:ascii="Arial" w:hAnsi="Arial" w:cs="Arial"/>
          <w:lang w:val="en-GB"/>
        </w:rPr>
        <w:t>the</w:t>
      </w:r>
      <w:r w:rsidRPr="00747D82">
        <w:rPr>
          <w:rFonts w:ascii="Arial" w:hAnsi="Arial" w:cs="Arial"/>
          <w:lang w:val="en-GB"/>
        </w:rPr>
        <w:t xml:space="preserve"> amount equal to </w:t>
      </w:r>
      <w:r>
        <w:rPr>
          <w:rFonts w:ascii="Arial" w:hAnsi="Arial" w:cs="Arial"/>
          <w:lang w:val="en-GB"/>
        </w:rPr>
        <w:t>__</w:t>
      </w:r>
      <w:r w:rsidRPr="00747D82">
        <w:rPr>
          <w:rFonts w:ascii="Arial" w:hAnsi="Arial" w:cs="Arial"/>
          <w:lang w:val="en-GB"/>
        </w:rPr>
        <w:t>% of the total EIT funding for the KAVA as agreed with EIT per the Amendment to the Grant Agreement in the relevant year</w:t>
      </w:r>
      <w:r>
        <w:rPr>
          <w:rFonts w:ascii="Arial" w:hAnsi="Arial" w:cs="Arial"/>
          <w:lang w:val="en-US"/>
        </w:rPr>
        <w:t xml:space="preserve">. In case the exploitation doesn’t achieve the ___of the EIT funding, according to the schedule included in the Term- Sheet the exploitation shall </w:t>
      </w:r>
      <w:r w:rsidRPr="000F3543">
        <w:rPr>
          <w:rFonts w:ascii="Arial" w:hAnsi="Arial" w:cs="Arial"/>
          <w:lang w:val="en-US"/>
        </w:rPr>
        <w:t>continue until said percentage is achieved, with the limit of six years after the start year.</w:t>
      </w:r>
    </w:p>
    <w:p w14:paraId="06234EB0" w14:textId="77777777" w:rsidR="003D4516" w:rsidRPr="00585590" w:rsidRDefault="003D4516" w:rsidP="003D4516">
      <w:pPr>
        <w:jc w:val="both"/>
      </w:pPr>
    </w:p>
    <w:p w14:paraId="138E75EF" w14:textId="77777777" w:rsidR="003D4516" w:rsidRDefault="003D4516" w:rsidP="003D4516">
      <w:pPr>
        <w:jc w:val="both"/>
        <w:rPr>
          <w:rFonts w:ascii="Arial" w:hAnsi="Arial" w:cs="Arial"/>
          <w:lang w:val="en-GB"/>
        </w:rPr>
      </w:pPr>
      <w:r>
        <w:rPr>
          <w:rFonts w:ascii="Arial" w:hAnsi="Arial" w:cs="Arial"/>
          <w:lang w:val="en-GB"/>
        </w:rPr>
        <w:lastRenderedPageBreak/>
        <w:t xml:space="preserve">3.1. EIT Food Partners are aware that the payment of the amounts due to EIT Food according to the agreed conditions in the Term-Sheet should not be considered as a reimbursement of the grant. It </w:t>
      </w:r>
      <w:proofErr w:type="gramStart"/>
      <w:r>
        <w:rPr>
          <w:rFonts w:ascii="Arial" w:hAnsi="Arial" w:cs="Arial"/>
          <w:lang w:val="en-GB"/>
        </w:rPr>
        <w:t>has to</w:t>
      </w:r>
      <w:proofErr w:type="gramEnd"/>
      <w:r>
        <w:rPr>
          <w:rFonts w:ascii="Arial" w:hAnsi="Arial" w:cs="Arial"/>
          <w:lang w:val="en-GB"/>
        </w:rPr>
        <w:t xml:space="preserve"> be considered as a mechanism to contribute to the financial sustainability of the KIC EIT Food.</w:t>
      </w:r>
    </w:p>
    <w:p w14:paraId="5B4EFA93" w14:textId="77777777" w:rsidR="003D4516" w:rsidRDefault="003D4516" w:rsidP="003D4516">
      <w:pPr>
        <w:jc w:val="both"/>
        <w:rPr>
          <w:rFonts w:ascii="Arial" w:hAnsi="Arial" w:cs="Arial"/>
          <w:lang w:val="en-GB"/>
        </w:rPr>
      </w:pPr>
      <w:r>
        <w:rPr>
          <w:rFonts w:ascii="Arial" w:hAnsi="Arial" w:cs="Arial"/>
          <w:lang w:val="en-GB"/>
        </w:rPr>
        <w:t>On behalf of the EIT Food Partners in the KAVA, the Exploiting Party shall be responsible for the payment of the total of due amounts according to the schedule included in the Term-Sheet.</w:t>
      </w:r>
    </w:p>
    <w:p w14:paraId="7FEFC329" w14:textId="77777777" w:rsidR="003D4516" w:rsidRDefault="003D4516" w:rsidP="003D4516">
      <w:pPr>
        <w:jc w:val="both"/>
        <w:rPr>
          <w:rFonts w:ascii="Arial" w:hAnsi="Arial" w:cs="Arial"/>
          <w:lang w:val="en-GB"/>
        </w:rPr>
      </w:pPr>
      <w:r>
        <w:rPr>
          <w:rFonts w:ascii="Arial" w:hAnsi="Arial" w:cs="Arial"/>
          <w:lang w:val="en-GB"/>
        </w:rPr>
        <w:t xml:space="preserve">EIT Food Partners </w:t>
      </w:r>
      <w:r>
        <w:rPr>
          <w:rFonts w:ascii="Arial" w:hAnsi="Arial" w:cs="Arial"/>
          <w:lang w:val="en-US"/>
        </w:rPr>
        <w:t>shall</w:t>
      </w:r>
      <w:r>
        <w:rPr>
          <w:rFonts w:ascii="Arial" w:hAnsi="Arial" w:cs="Arial"/>
          <w:lang w:val="en-GB"/>
        </w:rPr>
        <w:t xml:space="preserve"> make the corresponding arrangements between themselves in respect of the payment, to be reflected in the Consortium Agreement for the KAVA or </w:t>
      </w:r>
      <w:r>
        <w:rPr>
          <w:rFonts w:ascii="Arial" w:hAnsi="Arial" w:cs="Arial"/>
          <w:lang w:val="en-US"/>
        </w:rPr>
        <w:t xml:space="preserve">in </w:t>
      </w:r>
      <w:r>
        <w:rPr>
          <w:rFonts w:ascii="Arial" w:hAnsi="Arial" w:cs="Arial"/>
          <w:lang w:val="en-GB"/>
        </w:rPr>
        <w:t xml:space="preserve">other agreements between EIT Food Partners. The Exploiting Party shall make sure that appropriate arrangements are made between the EIT Food Partners in the KAVA </w:t>
      </w:r>
      <w:proofErr w:type="gramStart"/>
      <w:r>
        <w:rPr>
          <w:rFonts w:ascii="Arial" w:hAnsi="Arial" w:cs="Arial"/>
          <w:lang w:val="en-GB"/>
        </w:rPr>
        <w:t>in order to</w:t>
      </w:r>
      <w:proofErr w:type="gramEnd"/>
      <w:r>
        <w:rPr>
          <w:rFonts w:ascii="Arial" w:hAnsi="Arial" w:cs="Arial"/>
          <w:lang w:val="en-GB"/>
        </w:rPr>
        <w:t xml:space="preserve"> be able to honour its obligations towards the KIC LE for the payment of amounts due to KIC LE for the implementation of the Term-Sheet.</w:t>
      </w:r>
    </w:p>
    <w:p w14:paraId="2C1EF7AD" w14:textId="77777777" w:rsidR="003D4516" w:rsidRDefault="003D4516" w:rsidP="003D4516">
      <w:pPr>
        <w:jc w:val="both"/>
        <w:rPr>
          <w:rFonts w:ascii="Arial" w:hAnsi="Arial" w:cs="Arial"/>
          <w:lang w:val="en-GB"/>
        </w:rPr>
      </w:pPr>
      <w:r>
        <w:rPr>
          <w:rFonts w:ascii="Arial" w:hAnsi="Arial" w:cs="Arial"/>
          <w:lang w:val="en-GB"/>
        </w:rPr>
        <w:t xml:space="preserve">3.2. KIC LE shall issue annually an invoice for the due amounts to the Exploiting Party after the reception by EIT Food of the report and the sworn declaration as stated in the Term-Sheet. </w:t>
      </w:r>
    </w:p>
    <w:p w14:paraId="3B108462" w14:textId="77777777" w:rsidR="003D4516" w:rsidRDefault="003D4516" w:rsidP="003D4516">
      <w:pPr>
        <w:jc w:val="both"/>
        <w:rPr>
          <w:rFonts w:ascii="Arial" w:hAnsi="Arial" w:cs="Arial"/>
          <w:lang w:val="en-GB"/>
        </w:rPr>
      </w:pPr>
      <w:bookmarkStart w:id="8" w:name="_Hlk55494148"/>
      <w:r>
        <w:rPr>
          <w:rFonts w:ascii="Arial" w:hAnsi="Arial" w:cs="Arial"/>
          <w:lang w:val="en-GB"/>
        </w:rPr>
        <w:t xml:space="preserve">3.3 The Exploiting Party agrees that EIT Food or an independent auditor assigned by EIT Food shall have the right, at any moment during the term of this Agreement, to perform a verification of the related account(s) that underlies calculation base of the Revenue Sharing Mechanism in accordance with International Standard on Related Services (ISRS) 4400. The Exploiting Party shall grant access to its properties, </w:t>
      </w:r>
      <w:proofErr w:type="gramStart"/>
      <w:r>
        <w:rPr>
          <w:rFonts w:ascii="Arial" w:hAnsi="Arial" w:cs="Arial"/>
          <w:lang w:val="en-GB"/>
        </w:rPr>
        <w:t>premises</w:t>
      </w:r>
      <w:proofErr w:type="gramEnd"/>
      <w:r>
        <w:rPr>
          <w:rFonts w:ascii="Arial" w:hAnsi="Arial" w:cs="Arial"/>
          <w:lang w:val="en-GB"/>
        </w:rPr>
        <w:t xml:space="preserve"> and records for this purpose. The expenses of this verification shall be for the account of EIT Food. EIT Food shall communicate to the Exploiting Party of its intention if performing the verification 15 days prior to the date of the verification. </w:t>
      </w:r>
    </w:p>
    <w:bookmarkEnd w:id="8"/>
    <w:p w14:paraId="03B389F5" w14:textId="77777777" w:rsidR="003D4516" w:rsidRDefault="003D4516" w:rsidP="003D4516">
      <w:pPr>
        <w:jc w:val="both"/>
        <w:rPr>
          <w:rFonts w:ascii="Arial" w:hAnsi="Arial" w:cs="Arial"/>
          <w:lang w:val="en-GB"/>
        </w:rPr>
      </w:pPr>
    </w:p>
    <w:p w14:paraId="19C03421" w14:textId="77777777" w:rsidR="003D4516" w:rsidRDefault="003D4516" w:rsidP="003D4516">
      <w:pPr>
        <w:jc w:val="both"/>
        <w:rPr>
          <w:rFonts w:ascii="Arial" w:hAnsi="Arial" w:cs="Arial"/>
          <w:lang w:val="en-GB"/>
        </w:rPr>
      </w:pPr>
    </w:p>
    <w:p w14:paraId="7D9C8B55" w14:textId="77777777" w:rsidR="003D4516" w:rsidRDefault="003D4516" w:rsidP="003D4516">
      <w:pPr>
        <w:jc w:val="both"/>
        <w:rPr>
          <w:rFonts w:ascii="Arial" w:hAnsi="Arial" w:cs="Arial"/>
          <w:lang w:val="en-GB"/>
        </w:rPr>
      </w:pPr>
    </w:p>
    <w:p w14:paraId="799A48AA" w14:textId="77777777" w:rsidR="003D4516" w:rsidRDefault="003D4516" w:rsidP="003D4516">
      <w:pPr>
        <w:jc w:val="both"/>
        <w:rPr>
          <w:rFonts w:ascii="Arial" w:hAnsi="Arial" w:cs="Arial"/>
          <w:b/>
          <w:lang w:val="en-GB"/>
        </w:rPr>
      </w:pPr>
      <w:r>
        <w:rPr>
          <w:rFonts w:ascii="Arial" w:hAnsi="Arial" w:cs="Arial"/>
          <w:b/>
          <w:lang w:val="en-GB"/>
        </w:rPr>
        <w:t>Article 4: Payment</w:t>
      </w:r>
    </w:p>
    <w:p w14:paraId="2EE2ADA6" w14:textId="77777777" w:rsidR="003D4516" w:rsidRDefault="003D4516" w:rsidP="003D4516">
      <w:pPr>
        <w:jc w:val="both"/>
        <w:rPr>
          <w:rFonts w:ascii="Arial" w:hAnsi="Arial" w:cs="Arial"/>
          <w:lang w:val="en-US"/>
        </w:rPr>
      </w:pPr>
    </w:p>
    <w:p w14:paraId="492C97F0" w14:textId="77777777" w:rsidR="003D4516" w:rsidRDefault="003D4516" w:rsidP="003D4516">
      <w:pPr>
        <w:jc w:val="both"/>
        <w:rPr>
          <w:rFonts w:ascii="Arial" w:hAnsi="Arial" w:cs="Arial"/>
          <w:lang w:val="en-US"/>
        </w:rPr>
      </w:pPr>
      <w:r>
        <w:rPr>
          <w:rFonts w:ascii="Arial" w:hAnsi="Arial" w:cs="Arial"/>
          <w:lang w:val="en-US"/>
        </w:rPr>
        <w:t>4.1 All invoices must be paid in full within thirty (30) days from the date of invoice and all payments shall be made in EUR. The Exploiting Party shall pay the invoiced amount without any withholdings. KIC LE may sell its receivables under this Agreement to a third party without the Exploiting Party’s consent.</w:t>
      </w:r>
    </w:p>
    <w:p w14:paraId="4ECDBBD6" w14:textId="77777777" w:rsidR="003D4516" w:rsidRDefault="003D4516" w:rsidP="003D4516">
      <w:pPr>
        <w:pStyle w:val="paragraph"/>
        <w:jc w:val="both"/>
        <w:textAlignment w:val="baseline"/>
        <w:rPr>
          <w:rFonts w:ascii="Arial" w:eastAsia="Calibri" w:hAnsi="Arial" w:cs="Arial"/>
          <w:sz w:val="22"/>
          <w:szCs w:val="22"/>
          <w:lang w:val="en-US" w:eastAsia="en-US"/>
        </w:rPr>
      </w:pPr>
      <w:r>
        <w:rPr>
          <w:rFonts w:ascii="Arial" w:eastAsia="Calibri" w:hAnsi="Arial" w:cs="Arial"/>
          <w:sz w:val="22"/>
          <w:szCs w:val="22"/>
          <w:lang w:val="en-US" w:eastAsia="en-US"/>
        </w:rPr>
        <w:t xml:space="preserve">4.2 In the event of any delay in payments, the Exploiting Party agrees to pay interest on the amount delayed at the rate of the lesser of (a) (Euribor+ 5%) per annum for each day elapsed from the due date to the date of actual payment, calculated </w:t>
      </w:r>
      <w:proofErr w:type="gramStart"/>
      <w:r>
        <w:rPr>
          <w:rFonts w:ascii="Arial" w:eastAsia="Calibri" w:hAnsi="Arial" w:cs="Arial"/>
          <w:sz w:val="22"/>
          <w:szCs w:val="22"/>
          <w:lang w:val="en-US" w:eastAsia="en-US"/>
        </w:rPr>
        <w:t>on the basis of</w:t>
      </w:r>
      <w:proofErr w:type="gramEnd"/>
      <w:r>
        <w:rPr>
          <w:rFonts w:ascii="Arial" w:eastAsia="Calibri" w:hAnsi="Arial" w:cs="Arial"/>
          <w:sz w:val="22"/>
          <w:szCs w:val="22"/>
          <w:lang w:val="en-US" w:eastAsia="en-US"/>
        </w:rPr>
        <w:t xml:space="preserve"> a 360-day year or (b) the maximum interest rate allowed by applicable law. Any partial payments received will first be applied to cover accrued interest, if any, and thereafter be credited to cover the principal amount outstanding. </w:t>
      </w:r>
    </w:p>
    <w:p w14:paraId="45ABDEED" w14:textId="77777777" w:rsidR="003D4516" w:rsidRDefault="003D4516" w:rsidP="003D4516">
      <w:pPr>
        <w:jc w:val="both"/>
        <w:rPr>
          <w:rFonts w:ascii="Arial" w:hAnsi="Arial" w:cs="Arial"/>
          <w:lang w:val="en-GB"/>
        </w:rPr>
      </w:pPr>
    </w:p>
    <w:p w14:paraId="6D94104C" w14:textId="77777777" w:rsidR="003D4516" w:rsidRDefault="003D4516" w:rsidP="003D4516">
      <w:pPr>
        <w:jc w:val="both"/>
        <w:rPr>
          <w:rFonts w:ascii="Arial" w:hAnsi="Arial" w:cs="Arial"/>
          <w:b/>
          <w:lang w:val="en-US"/>
        </w:rPr>
      </w:pPr>
      <w:r>
        <w:rPr>
          <w:rFonts w:ascii="Arial" w:hAnsi="Arial" w:cs="Arial"/>
          <w:b/>
          <w:lang w:val="en-US"/>
        </w:rPr>
        <w:t>Article 5: Term</w:t>
      </w:r>
    </w:p>
    <w:p w14:paraId="64422A85" w14:textId="77777777" w:rsidR="003D4516" w:rsidRDefault="003D4516" w:rsidP="003D4516">
      <w:pPr>
        <w:jc w:val="both"/>
        <w:rPr>
          <w:rFonts w:ascii="Arial" w:hAnsi="Arial" w:cs="Arial"/>
          <w:lang w:val="en-US"/>
        </w:rPr>
      </w:pPr>
    </w:p>
    <w:p w14:paraId="59661458" w14:textId="77777777" w:rsidR="003D4516" w:rsidRDefault="003D4516" w:rsidP="003D4516">
      <w:pPr>
        <w:jc w:val="both"/>
        <w:rPr>
          <w:rFonts w:ascii="Arial" w:hAnsi="Arial" w:cs="Arial"/>
          <w:lang w:val="en-US"/>
        </w:rPr>
      </w:pPr>
      <w:r>
        <w:rPr>
          <w:rFonts w:ascii="Arial" w:hAnsi="Arial" w:cs="Arial"/>
          <w:lang w:val="en-US"/>
        </w:rPr>
        <w:t>This Agreement shall have effect from the Effective Date identified at the beginning of this Agreement.</w:t>
      </w:r>
    </w:p>
    <w:p w14:paraId="3C27609E" w14:textId="77777777" w:rsidR="003D4516" w:rsidRDefault="003D4516" w:rsidP="003D4516">
      <w:pPr>
        <w:jc w:val="both"/>
        <w:rPr>
          <w:rFonts w:ascii="Arial" w:hAnsi="Arial" w:cs="Arial"/>
          <w:lang w:val="en-US"/>
        </w:rPr>
      </w:pPr>
      <w:r>
        <w:rPr>
          <w:rFonts w:ascii="Arial" w:hAnsi="Arial" w:cs="Arial"/>
          <w:lang w:val="en-US"/>
        </w:rPr>
        <w:t>It shall continue to be in full force and effect until all obligations resulting from this Agreement are fulfilled.</w:t>
      </w:r>
    </w:p>
    <w:p w14:paraId="4DB24F69" w14:textId="77777777" w:rsidR="003D4516" w:rsidRDefault="003D4516" w:rsidP="003D4516">
      <w:pPr>
        <w:jc w:val="both"/>
        <w:rPr>
          <w:rFonts w:ascii="Arial" w:hAnsi="Arial" w:cs="Arial"/>
          <w:lang w:val="en-US"/>
        </w:rPr>
      </w:pPr>
    </w:p>
    <w:p w14:paraId="4C9D49F5" w14:textId="77777777" w:rsidR="003D4516" w:rsidRDefault="003D4516" w:rsidP="003D4516">
      <w:pPr>
        <w:pStyle w:val="Revision"/>
        <w:spacing w:before="240"/>
        <w:jc w:val="both"/>
        <w:outlineLvl w:val="1"/>
        <w:rPr>
          <w:rFonts w:eastAsia="Times New Roman"/>
          <w:bCs/>
          <w:color w:val="44546A"/>
          <w:sz w:val="22"/>
          <w:szCs w:val="22"/>
        </w:rPr>
      </w:pPr>
      <w:r w:rsidRPr="00585590">
        <w:rPr>
          <w:rFonts w:eastAsia="Calibri"/>
          <w:bCs/>
          <w:spacing w:val="0"/>
          <w:sz w:val="22"/>
          <w:szCs w:val="22"/>
          <w:lang w:eastAsia="en-US"/>
        </w:rPr>
        <w:t xml:space="preserve">Article </w:t>
      </w:r>
      <w:r>
        <w:rPr>
          <w:rFonts w:eastAsia="Calibri"/>
          <w:bCs/>
          <w:spacing w:val="0"/>
          <w:sz w:val="22"/>
          <w:szCs w:val="22"/>
          <w:lang w:eastAsia="en-US"/>
        </w:rPr>
        <w:t>6</w:t>
      </w:r>
      <w:r w:rsidRPr="00585590">
        <w:rPr>
          <w:rFonts w:eastAsia="Calibri"/>
          <w:bCs/>
          <w:spacing w:val="0"/>
          <w:sz w:val="22"/>
          <w:szCs w:val="22"/>
          <w:lang w:eastAsia="en-US"/>
        </w:rPr>
        <w:t>: Applicable</w:t>
      </w:r>
      <w:r>
        <w:rPr>
          <w:rFonts w:eastAsia="Times New Roman"/>
          <w:bCs/>
          <w:color w:val="44546A"/>
          <w:sz w:val="22"/>
          <w:szCs w:val="22"/>
        </w:rPr>
        <w:t xml:space="preserve"> law</w:t>
      </w:r>
    </w:p>
    <w:p w14:paraId="492B1B8A" w14:textId="77777777" w:rsidR="003D4516" w:rsidRPr="00585590" w:rsidRDefault="003D4516" w:rsidP="003D4516">
      <w:pPr>
        <w:jc w:val="both"/>
        <w:rPr>
          <w:lang w:val="en-US"/>
        </w:rPr>
      </w:pPr>
    </w:p>
    <w:p w14:paraId="15CC4751" w14:textId="77777777" w:rsidR="003D4516" w:rsidRDefault="003D4516" w:rsidP="003D4516">
      <w:pPr>
        <w:jc w:val="both"/>
        <w:rPr>
          <w:rFonts w:ascii="Arial" w:hAnsi="Arial" w:cs="Arial"/>
          <w:lang w:val="en-US"/>
        </w:rPr>
      </w:pPr>
      <w:r>
        <w:rPr>
          <w:rFonts w:ascii="Arial" w:hAnsi="Arial" w:cs="Arial"/>
          <w:lang w:val="en-US"/>
        </w:rPr>
        <w:t>This</w:t>
      </w:r>
      <w:r w:rsidRPr="00585590">
        <w:rPr>
          <w:rFonts w:ascii="Arial" w:hAnsi="Arial" w:cs="Arial"/>
          <w:lang w:val="en-US"/>
        </w:rPr>
        <w:t xml:space="preserve"> </w:t>
      </w:r>
      <w:r>
        <w:rPr>
          <w:rFonts w:ascii="Arial" w:hAnsi="Arial" w:cs="Arial"/>
          <w:lang w:val="en-US"/>
        </w:rPr>
        <w:t>Agreement shall be construed in accordance with and governed by the laws of Belgium excluding its conflict of law provisions.</w:t>
      </w:r>
    </w:p>
    <w:p w14:paraId="58D89B28" w14:textId="77777777" w:rsidR="003D4516" w:rsidRDefault="003D4516" w:rsidP="003D4516">
      <w:pPr>
        <w:pStyle w:val="Heading1"/>
        <w:jc w:val="both"/>
        <w:rPr>
          <w:rFonts w:ascii="Arial" w:hAnsi="Arial" w:cs="Arial"/>
          <w:color w:val="auto"/>
          <w:szCs w:val="22"/>
        </w:rPr>
      </w:pPr>
      <w:r>
        <w:rPr>
          <w:rFonts w:ascii="Arial" w:hAnsi="Arial" w:cs="Arial"/>
          <w:color w:val="auto"/>
          <w:szCs w:val="22"/>
        </w:rPr>
        <w:t>Article 7: Settlement of disputes</w:t>
      </w:r>
    </w:p>
    <w:p w14:paraId="08C5383C" w14:textId="77777777" w:rsidR="003D4516" w:rsidRDefault="003D4516" w:rsidP="003D4516">
      <w:pPr>
        <w:jc w:val="both"/>
        <w:rPr>
          <w:rFonts w:ascii="Arial" w:hAnsi="Arial" w:cs="Arial"/>
          <w:lang w:val="en-US"/>
        </w:rPr>
      </w:pPr>
    </w:p>
    <w:p w14:paraId="110AFC17" w14:textId="77777777" w:rsidR="003D4516" w:rsidRDefault="003D4516" w:rsidP="003D4516">
      <w:pPr>
        <w:jc w:val="both"/>
        <w:rPr>
          <w:rFonts w:ascii="Arial" w:hAnsi="Arial" w:cs="Arial"/>
          <w:lang w:val="en-US"/>
        </w:rPr>
      </w:pPr>
      <w:r>
        <w:rPr>
          <w:rFonts w:ascii="Arial" w:hAnsi="Arial" w:cs="Arial"/>
          <w:lang w:val="en-US"/>
        </w:rPr>
        <w:t xml:space="preserve">The Parties shall </w:t>
      </w:r>
      <w:proofErr w:type="spellStart"/>
      <w:r>
        <w:rPr>
          <w:rFonts w:ascii="Arial" w:hAnsi="Arial" w:cs="Arial"/>
          <w:lang w:val="en-US"/>
        </w:rPr>
        <w:t>endeavour</w:t>
      </w:r>
      <w:proofErr w:type="spellEnd"/>
      <w:r>
        <w:rPr>
          <w:rFonts w:ascii="Arial" w:hAnsi="Arial" w:cs="Arial"/>
          <w:lang w:val="en-US"/>
        </w:rPr>
        <w:t xml:space="preserve"> to settle their disputes amicably. All disputes arising out of or in connection with this Agreement, which cannot be solved amicably, shall be brought before the courts of Brussels.</w:t>
      </w:r>
    </w:p>
    <w:p w14:paraId="6D75AADC" w14:textId="77777777" w:rsidR="003D4516" w:rsidRDefault="003D4516" w:rsidP="003D4516">
      <w:pPr>
        <w:pStyle w:val="Heading1"/>
        <w:jc w:val="both"/>
        <w:rPr>
          <w:rFonts w:ascii="Arial" w:hAnsi="Arial" w:cs="Arial"/>
          <w:color w:val="auto"/>
          <w:szCs w:val="22"/>
        </w:rPr>
      </w:pPr>
    </w:p>
    <w:p w14:paraId="5628B614" w14:textId="77777777" w:rsidR="003D4516" w:rsidRDefault="003D4516" w:rsidP="003D4516">
      <w:pPr>
        <w:pStyle w:val="Heading1"/>
        <w:jc w:val="both"/>
        <w:rPr>
          <w:rFonts w:ascii="Arial" w:hAnsi="Arial" w:cs="Arial"/>
          <w:color w:val="auto"/>
          <w:szCs w:val="22"/>
        </w:rPr>
      </w:pPr>
    </w:p>
    <w:p w14:paraId="72DDF65A" w14:textId="77777777" w:rsidR="003D4516" w:rsidRDefault="003D4516" w:rsidP="003D4516">
      <w:pPr>
        <w:pStyle w:val="Heading1"/>
        <w:jc w:val="both"/>
        <w:rPr>
          <w:rFonts w:ascii="Arial" w:hAnsi="Arial" w:cs="Arial"/>
          <w:color w:val="auto"/>
          <w:szCs w:val="22"/>
        </w:rPr>
      </w:pPr>
    </w:p>
    <w:p w14:paraId="4840D9C6" w14:textId="77777777" w:rsidR="003D4516" w:rsidRDefault="003D4516" w:rsidP="003D4516">
      <w:pPr>
        <w:rPr>
          <w:lang w:val="en-GB"/>
        </w:rPr>
      </w:pPr>
    </w:p>
    <w:p w14:paraId="7AEF5D2A" w14:textId="77777777" w:rsidR="003D4516" w:rsidRDefault="003D4516" w:rsidP="003D4516">
      <w:pPr>
        <w:rPr>
          <w:lang w:val="en-GB"/>
        </w:rPr>
      </w:pPr>
    </w:p>
    <w:p w14:paraId="4BD60519" w14:textId="48DD3344" w:rsidR="003D4516" w:rsidRDefault="003D4516" w:rsidP="003D4516">
      <w:pPr>
        <w:rPr>
          <w:lang w:val="en-GB"/>
        </w:rPr>
      </w:pPr>
    </w:p>
    <w:p w14:paraId="69048E05" w14:textId="6EC9393E" w:rsidR="0031757D" w:rsidRDefault="0031757D" w:rsidP="003D4516">
      <w:pPr>
        <w:rPr>
          <w:lang w:val="en-GB"/>
        </w:rPr>
      </w:pPr>
    </w:p>
    <w:p w14:paraId="38A60126" w14:textId="5386F1EF" w:rsidR="0031757D" w:rsidRDefault="0031757D" w:rsidP="003D4516">
      <w:pPr>
        <w:rPr>
          <w:lang w:val="en-GB"/>
        </w:rPr>
      </w:pPr>
    </w:p>
    <w:p w14:paraId="7AFC4393" w14:textId="3AB951DE" w:rsidR="0031757D" w:rsidRDefault="0031757D" w:rsidP="003D4516">
      <w:pPr>
        <w:rPr>
          <w:lang w:val="en-GB"/>
        </w:rPr>
      </w:pPr>
    </w:p>
    <w:p w14:paraId="7286880A" w14:textId="2E1DD208" w:rsidR="0031757D" w:rsidRDefault="0031757D" w:rsidP="003D4516">
      <w:pPr>
        <w:rPr>
          <w:lang w:val="en-GB"/>
        </w:rPr>
      </w:pPr>
    </w:p>
    <w:p w14:paraId="490F540C" w14:textId="6C1833B6" w:rsidR="0031757D" w:rsidRDefault="0031757D" w:rsidP="003D4516">
      <w:pPr>
        <w:rPr>
          <w:lang w:val="en-GB"/>
        </w:rPr>
      </w:pPr>
    </w:p>
    <w:p w14:paraId="7784C7C6" w14:textId="77777777" w:rsidR="0031757D" w:rsidRDefault="0031757D" w:rsidP="003D4516">
      <w:pPr>
        <w:rPr>
          <w:lang w:val="en-GB"/>
        </w:rPr>
      </w:pPr>
    </w:p>
    <w:p w14:paraId="6C8E7F33" w14:textId="77777777" w:rsidR="003D4516" w:rsidRDefault="003D4516" w:rsidP="003D4516">
      <w:pPr>
        <w:rPr>
          <w:lang w:val="en-GB"/>
        </w:rPr>
      </w:pPr>
    </w:p>
    <w:p w14:paraId="31B2AFAE" w14:textId="77777777" w:rsidR="003D4516" w:rsidRDefault="003D4516" w:rsidP="003D4516">
      <w:pPr>
        <w:rPr>
          <w:lang w:val="en-GB"/>
        </w:rPr>
      </w:pPr>
    </w:p>
    <w:p w14:paraId="2F0A6C45" w14:textId="77777777" w:rsidR="003D4516" w:rsidRDefault="003D4516" w:rsidP="003D4516">
      <w:pPr>
        <w:jc w:val="both"/>
        <w:rPr>
          <w:rFonts w:ascii="Arial" w:hAnsi="Arial" w:cs="Arial"/>
          <w:b/>
          <w:lang w:val="en-US"/>
        </w:rPr>
      </w:pPr>
      <w:r>
        <w:rPr>
          <w:rFonts w:ascii="Arial" w:hAnsi="Arial" w:cs="Arial"/>
          <w:b/>
          <w:lang w:val="en-US"/>
        </w:rPr>
        <w:t>PART II</w:t>
      </w:r>
    </w:p>
    <w:p w14:paraId="3DE86689" w14:textId="77777777" w:rsidR="003D4516" w:rsidRPr="00CA681A" w:rsidRDefault="003D4516" w:rsidP="003D4516">
      <w:pPr>
        <w:jc w:val="both"/>
        <w:rPr>
          <w:rFonts w:ascii="Arial" w:hAnsi="Arial" w:cs="Arial"/>
          <w:b/>
          <w:lang w:val="en-US"/>
        </w:rPr>
      </w:pPr>
      <w:r>
        <w:rPr>
          <w:rFonts w:ascii="Arial" w:hAnsi="Arial" w:cs="Arial"/>
          <w:b/>
          <w:lang w:val="en-US"/>
        </w:rPr>
        <w:t xml:space="preserve">KIC LE ADDITIONAL ACCESS RIGHTS </w:t>
      </w:r>
      <w:r w:rsidRPr="00CA681A">
        <w:rPr>
          <w:rFonts w:ascii="Arial" w:hAnsi="Arial" w:cs="Arial"/>
          <w:b/>
          <w:lang w:val="en-US"/>
        </w:rPr>
        <w:t xml:space="preserve">(ONLY APPLICABLE WHEN THE EIT FOOD PARTNERS IN THE KAVA </w:t>
      </w:r>
      <w:r>
        <w:rPr>
          <w:rFonts w:ascii="Arial" w:hAnsi="Arial" w:cs="Arial"/>
          <w:b/>
          <w:lang w:val="en-US"/>
        </w:rPr>
        <w:t xml:space="preserve">HAVE NOT OBTAINED ANY REVENUES ARISING FROM THE </w:t>
      </w:r>
      <w:r>
        <w:rPr>
          <w:rFonts w:ascii="Arial" w:hAnsi="Arial" w:cs="Arial"/>
          <w:b/>
          <w:lang w:val="en-US"/>
        </w:rPr>
        <w:lastRenderedPageBreak/>
        <w:t>EXPLOITATION AFTER THE EIT FOOD REVIEW ON THE PROGRESS OF EXPLOITATION)</w:t>
      </w:r>
    </w:p>
    <w:p w14:paraId="17B27CF3" w14:textId="77777777" w:rsidR="003D4516" w:rsidRPr="00CA681A" w:rsidRDefault="003D4516" w:rsidP="003D4516">
      <w:pPr>
        <w:jc w:val="both"/>
        <w:rPr>
          <w:rFonts w:ascii="Arial" w:hAnsi="Arial" w:cs="Arial"/>
          <w:b/>
          <w:lang w:val="en-US"/>
        </w:rPr>
      </w:pPr>
    </w:p>
    <w:p w14:paraId="35702E53" w14:textId="77777777" w:rsidR="003D4516" w:rsidRPr="00CA681A" w:rsidRDefault="003D4516" w:rsidP="003D4516">
      <w:pPr>
        <w:jc w:val="both"/>
        <w:rPr>
          <w:rFonts w:ascii="Arial" w:hAnsi="Arial" w:cs="Arial"/>
          <w:b/>
          <w:lang w:val="en-US"/>
        </w:rPr>
      </w:pPr>
      <w:r w:rsidRPr="00CA681A">
        <w:rPr>
          <w:rFonts w:ascii="Arial" w:hAnsi="Arial" w:cs="Arial"/>
          <w:b/>
          <w:lang w:val="en-US"/>
        </w:rPr>
        <w:t xml:space="preserve">Article </w:t>
      </w:r>
      <w:r>
        <w:rPr>
          <w:rFonts w:ascii="Arial" w:hAnsi="Arial" w:cs="Arial"/>
          <w:b/>
          <w:lang w:val="en-US"/>
        </w:rPr>
        <w:t>8</w:t>
      </w:r>
      <w:r w:rsidRPr="00CA681A">
        <w:rPr>
          <w:rFonts w:ascii="Arial" w:hAnsi="Arial" w:cs="Arial"/>
          <w:b/>
          <w:lang w:val="en-US"/>
        </w:rPr>
        <w:t xml:space="preserve">: Additional Access Rights for KIC LE – Right to disseminate </w:t>
      </w:r>
    </w:p>
    <w:p w14:paraId="2BADFAE6" w14:textId="77777777" w:rsidR="003D4516" w:rsidRPr="00CA681A" w:rsidRDefault="003D4516" w:rsidP="003D4516">
      <w:pPr>
        <w:pStyle w:val="paragraph"/>
        <w:jc w:val="both"/>
        <w:textAlignment w:val="baseline"/>
        <w:rPr>
          <w:rFonts w:ascii="Arial" w:eastAsia="Calibri" w:hAnsi="Arial" w:cs="Arial"/>
          <w:sz w:val="22"/>
          <w:szCs w:val="22"/>
          <w:lang w:val="en-US" w:eastAsia="en-US"/>
        </w:rPr>
      </w:pPr>
      <w:r w:rsidRPr="00CA681A">
        <w:rPr>
          <w:rFonts w:ascii="Arial" w:eastAsia="Calibri" w:hAnsi="Arial" w:cs="Arial"/>
          <w:sz w:val="22"/>
          <w:szCs w:val="22"/>
          <w:lang w:val="en-US" w:eastAsia="en-US"/>
        </w:rPr>
        <w:t>In the event that EIT Food Partners in the KAVA have not to</w:t>
      </w:r>
      <w:r>
        <w:rPr>
          <w:rFonts w:ascii="Arial" w:eastAsia="Calibri" w:hAnsi="Arial" w:cs="Arial"/>
          <w:sz w:val="22"/>
          <w:szCs w:val="22"/>
          <w:lang w:val="en-US" w:eastAsia="en-US"/>
        </w:rPr>
        <w:t xml:space="preserve"> obtained any revenues after the Exploitation review as detailed in article 2.4 of this agreement and the Parties agree to , </w:t>
      </w:r>
      <w:r w:rsidRPr="00CA681A">
        <w:rPr>
          <w:rFonts w:ascii="Arial" w:eastAsia="Calibri" w:hAnsi="Arial" w:cs="Arial"/>
          <w:sz w:val="22"/>
          <w:szCs w:val="22"/>
          <w:lang w:val="en-US" w:eastAsia="en-US"/>
        </w:rPr>
        <w:t xml:space="preserve">each EIT Food Partner in the KAVA shall grant to the KIC LE the following additional Access Rights; </w:t>
      </w:r>
      <w:r>
        <w:rPr>
          <w:rFonts w:ascii="Arial" w:eastAsia="Calibri" w:hAnsi="Arial" w:cs="Arial"/>
          <w:sz w:val="22"/>
          <w:szCs w:val="22"/>
          <w:lang w:val="en-US" w:eastAsia="en-US"/>
        </w:rPr>
        <w:t xml:space="preserve">exclusive or </w:t>
      </w:r>
      <w:r w:rsidRPr="00CA681A">
        <w:rPr>
          <w:rFonts w:ascii="Arial" w:eastAsia="Calibri" w:hAnsi="Arial" w:cs="Arial"/>
          <w:sz w:val="22"/>
          <w:szCs w:val="22"/>
          <w:lang w:val="en-US" w:eastAsia="en-US"/>
        </w:rPr>
        <w:t>non-exclusive, fully paid-up, irrevocable, world-</w:t>
      </w:r>
      <w:r w:rsidRPr="00107C86">
        <w:rPr>
          <w:rFonts w:ascii="Arial" w:eastAsia="Calibri" w:hAnsi="Arial" w:cs="Arial"/>
          <w:sz w:val="22"/>
          <w:szCs w:val="22"/>
          <w:lang w:val="en-US" w:eastAsia="en-US"/>
        </w:rPr>
        <w:t xml:space="preserve">wide </w:t>
      </w:r>
      <w:r w:rsidRPr="001869A8">
        <w:rPr>
          <w:rFonts w:ascii="Arial" w:eastAsia="Calibri" w:hAnsi="Arial" w:cs="Arial"/>
          <w:sz w:val="22"/>
          <w:szCs w:val="22"/>
          <w:lang w:val="en-US" w:eastAsia="en-US"/>
        </w:rPr>
        <w:t>Access Rights to use the Results of the KAVA for the enhancement of the KIC EIT Food and the EIT Food Partners, for example for use in scientific papers, benchmarking. Such access rights shall include the right to grant sublicenses. In the case that access rights, including sublicensing rights, at no cost are not allowed under the Framework for State Aid for Research and Development and Innovation, a fair and reasonable compensation will be agreed in good faith with the EIT Food Partner(</w:t>
      </w:r>
      <w:proofErr w:type="gramStart"/>
      <w:r w:rsidRPr="001869A8">
        <w:rPr>
          <w:rFonts w:ascii="Arial" w:eastAsia="Calibri" w:hAnsi="Arial" w:cs="Arial"/>
          <w:sz w:val="22"/>
          <w:szCs w:val="22"/>
          <w:lang w:val="en-US" w:eastAsia="en-US"/>
        </w:rPr>
        <w:t xml:space="preserve">s) </w:t>
      </w:r>
      <w:r>
        <w:rPr>
          <w:rFonts w:ascii="Arial" w:eastAsia="Calibri" w:hAnsi="Arial" w:cs="Arial"/>
          <w:sz w:val="22"/>
          <w:szCs w:val="22"/>
          <w:lang w:val="en-US" w:eastAsia="en-US"/>
        </w:rPr>
        <w:t xml:space="preserve"> in</w:t>
      </w:r>
      <w:proofErr w:type="gramEnd"/>
      <w:r>
        <w:rPr>
          <w:rFonts w:ascii="Arial" w:eastAsia="Calibri" w:hAnsi="Arial" w:cs="Arial"/>
          <w:sz w:val="22"/>
          <w:szCs w:val="22"/>
          <w:lang w:val="en-US" w:eastAsia="en-US"/>
        </w:rPr>
        <w:t xml:space="preserve"> the KAVA o</w:t>
      </w:r>
      <w:r w:rsidRPr="001869A8">
        <w:rPr>
          <w:rFonts w:ascii="Arial" w:eastAsia="Calibri" w:hAnsi="Arial" w:cs="Arial"/>
          <w:sz w:val="22"/>
          <w:szCs w:val="22"/>
          <w:lang w:val="en-US" w:eastAsia="en-US"/>
        </w:rPr>
        <w:t>wning the Results .</w:t>
      </w:r>
      <w:r w:rsidRPr="004F5091">
        <w:rPr>
          <w:rFonts w:ascii="Arial" w:eastAsia="Calibri" w:hAnsi="Arial" w:cs="Arial"/>
          <w:sz w:val="22"/>
          <w:szCs w:val="22"/>
          <w:lang w:val="en-US" w:eastAsia="en-US"/>
        </w:rPr>
        <w:t xml:space="preserve"> </w:t>
      </w:r>
    </w:p>
    <w:p w14:paraId="4C7F0DBD" w14:textId="77777777" w:rsidR="003D4516" w:rsidRPr="004F5091" w:rsidRDefault="003D4516" w:rsidP="003D4516">
      <w:pPr>
        <w:pStyle w:val="paragraph"/>
        <w:jc w:val="both"/>
        <w:textAlignment w:val="baseline"/>
        <w:rPr>
          <w:rFonts w:ascii="Arial" w:eastAsia="Calibri" w:hAnsi="Arial" w:cs="Arial"/>
          <w:sz w:val="22"/>
          <w:szCs w:val="22"/>
          <w:lang w:val="en-US" w:eastAsia="en-US"/>
        </w:rPr>
      </w:pPr>
    </w:p>
    <w:p w14:paraId="413EF0BD" w14:textId="77777777" w:rsidR="003D4516" w:rsidRPr="00CA681A" w:rsidRDefault="003D4516" w:rsidP="003D4516">
      <w:pPr>
        <w:pStyle w:val="Revision"/>
        <w:jc w:val="both"/>
        <w:rPr>
          <w:rFonts w:eastAsia="Calibri"/>
          <w:b w:val="0"/>
          <w:spacing w:val="0"/>
          <w:sz w:val="22"/>
          <w:szCs w:val="22"/>
          <w:lang w:val="en-US" w:eastAsia="en-US"/>
        </w:rPr>
      </w:pPr>
      <w:r w:rsidRPr="00CA681A">
        <w:rPr>
          <w:rFonts w:eastAsia="Calibri"/>
          <w:b w:val="0"/>
          <w:spacing w:val="0"/>
          <w:sz w:val="22"/>
          <w:szCs w:val="22"/>
          <w:lang w:val="en-US" w:eastAsia="en-US"/>
        </w:rPr>
        <w:t>Each EIT Food Partner in the KAVA agrees to negotiate in good faith Access Rights to its Background to KIC LE if such Access Rights are needed for the use by the KIC LE of the Results as described in this Article 8, upon adequate financial conditions to be agreed. Access Rights are needed if, without the grant of such Access Rights, the use of the Results would be technically or legally impossible.</w:t>
      </w:r>
    </w:p>
    <w:p w14:paraId="26A65DC6" w14:textId="77777777" w:rsidR="003D4516" w:rsidRDefault="003D4516" w:rsidP="003D4516">
      <w:pPr>
        <w:jc w:val="both"/>
        <w:rPr>
          <w:rFonts w:ascii="Arial" w:hAnsi="Arial" w:cs="Arial"/>
          <w:lang w:val="en-US"/>
        </w:rPr>
      </w:pPr>
    </w:p>
    <w:p w14:paraId="576849F9" w14:textId="77777777" w:rsidR="003D4516" w:rsidRPr="00CA681A" w:rsidRDefault="003D4516" w:rsidP="003D4516">
      <w:pPr>
        <w:jc w:val="both"/>
        <w:rPr>
          <w:rFonts w:ascii="Arial" w:hAnsi="Arial" w:cs="Arial"/>
          <w:lang w:val="en-US"/>
        </w:rPr>
      </w:pPr>
      <w:r w:rsidRPr="00CA681A">
        <w:rPr>
          <w:rFonts w:ascii="Arial" w:hAnsi="Arial" w:cs="Arial"/>
          <w:lang w:val="en-US"/>
        </w:rPr>
        <w:t>Moreover, KIC LE shall have the right to widely disseminate such Results in the way it deems fit.</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3D4516" w:rsidRPr="002452C6" w14:paraId="05425D8D" w14:textId="77777777" w:rsidTr="009C416B">
        <w:tc>
          <w:tcPr>
            <w:tcW w:w="9212" w:type="dxa"/>
            <w:shd w:val="clear" w:color="auto" w:fill="auto"/>
          </w:tcPr>
          <w:p w14:paraId="56EAB584" w14:textId="07C93E7D" w:rsidR="003D4516" w:rsidRPr="00CA681A" w:rsidRDefault="003D4516" w:rsidP="009C416B">
            <w:pPr>
              <w:autoSpaceDE w:val="0"/>
              <w:autoSpaceDN w:val="0"/>
              <w:adjustRightInd w:val="0"/>
              <w:spacing w:before="120" w:after="0" w:line="240" w:lineRule="auto"/>
              <w:jc w:val="both"/>
              <w:rPr>
                <w:rFonts w:eastAsia="SimSun" w:cs="Calibri"/>
                <w:color w:val="000000"/>
                <w:lang w:val="en-US"/>
              </w:rPr>
            </w:pPr>
            <w:r w:rsidRPr="004F5091">
              <w:rPr>
                <w:rFonts w:ascii="Arial" w:hAnsi="Arial" w:cs="Arial"/>
                <w:lang w:val="en-US"/>
              </w:rPr>
              <w:t>Clarification:</w:t>
            </w:r>
            <w:r w:rsidRPr="00CA681A">
              <w:rPr>
                <w:rFonts w:eastAsia="SimSun" w:cs="Calibri"/>
                <w:color w:val="000000"/>
                <w:lang w:val="en-US"/>
              </w:rPr>
              <w:t xml:space="preserve"> </w:t>
            </w:r>
            <w:r w:rsidRPr="00CA681A">
              <w:rPr>
                <w:rFonts w:ascii="Arial" w:hAnsi="Arial" w:cs="Arial"/>
                <w:lang w:val="en-US"/>
              </w:rPr>
              <w:t xml:space="preserve">The ownership and Access Rights regime of the EIT Food Partners as provided for under the </w:t>
            </w:r>
            <w:r>
              <w:rPr>
                <w:rFonts w:ascii="Arial" w:hAnsi="Arial" w:cs="Arial"/>
                <w:lang w:val="en-US"/>
              </w:rPr>
              <w:t>MGA article 16</w:t>
            </w:r>
            <w:r w:rsidRPr="00CA681A">
              <w:rPr>
                <w:rFonts w:ascii="Arial" w:hAnsi="Arial" w:cs="Arial"/>
                <w:lang w:val="en-US"/>
              </w:rPr>
              <w:t xml:space="preserve"> remain intact and are not affected by this Agreement. The EIT Food Partners will continue to own the Results of the KAVA they have generated. EIT Food does not request to transfer the ownership of the Results from the EIT Food Partners. The EIT Food Partners will also continue to have the non-exclusive Access Rights on the Results of the other EIT Food Partners. However in the event that </w:t>
            </w:r>
            <w:r w:rsidR="0031757D">
              <w:rPr>
                <w:rFonts w:ascii="Arial" w:hAnsi="Arial" w:cs="Arial"/>
                <w:lang w:val="en-GB"/>
              </w:rPr>
              <w:t>or no revenues have been obtained from the exploitation or KIC LE in agreement with EIT Food Partners consider that is expected not to generate any revenues</w:t>
            </w:r>
            <w:r w:rsidR="0031757D" w:rsidRPr="00CA681A">
              <w:rPr>
                <w:rFonts w:ascii="Arial" w:hAnsi="Arial" w:cs="Arial"/>
                <w:lang w:val="en-US"/>
              </w:rPr>
              <w:t xml:space="preserve"> </w:t>
            </w:r>
            <w:r w:rsidR="0031757D" w:rsidRPr="0031757D">
              <w:rPr>
                <w:rFonts w:ascii="Arial" w:hAnsi="Arial" w:cs="Arial"/>
                <w:lang w:val="en-US"/>
              </w:rPr>
              <w:t>after</w:t>
            </w:r>
            <w:r w:rsidRPr="0031757D">
              <w:rPr>
                <w:rFonts w:ascii="Arial" w:hAnsi="Arial" w:cs="Arial"/>
                <w:lang w:val="en-US"/>
              </w:rPr>
              <w:t xml:space="preserve"> the review on the progress of the exploitation</w:t>
            </w:r>
            <w:r w:rsidR="0031757D">
              <w:rPr>
                <w:rFonts w:ascii="Arial" w:hAnsi="Arial" w:cs="Arial"/>
                <w:lang w:val="en-US"/>
              </w:rPr>
              <w:t xml:space="preserve">, </w:t>
            </w:r>
            <w:r>
              <w:rPr>
                <w:rFonts w:ascii="Arial" w:hAnsi="Arial" w:cs="Arial"/>
                <w:lang w:val="en-US"/>
              </w:rPr>
              <w:t xml:space="preserve"> </w:t>
            </w:r>
            <w:r w:rsidRPr="00CA681A">
              <w:rPr>
                <w:rFonts w:ascii="Arial" w:hAnsi="Arial" w:cs="Arial"/>
                <w:lang w:val="en-US"/>
              </w:rPr>
              <w:t xml:space="preserve">under this Agreement, KIC LE will </w:t>
            </w:r>
            <w:r>
              <w:rPr>
                <w:rFonts w:ascii="Arial" w:hAnsi="Arial" w:cs="Arial"/>
                <w:lang w:val="en-US"/>
              </w:rPr>
              <w:t xml:space="preserve">be </w:t>
            </w:r>
            <w:r w:rsidR="0031757D">
              <w:rPr>
                <w:rFonts w:ascii="Arial" w:hAnsi="Arial" w:cs="Arial"/>
                <w:lang w:val="en-US"/>
              </w:rPr>
              <w:t>entitled</w:t>
            </w:r>
            <w:r>
              <w:rPr>
                <w:rFonts w:ascii="Arial" w:hAnsi="Arial" w:cs="Arial"/>
                <w:lang w:val="en-US"/>
              </w:rPr>
              <w:t xml:space="preserve"> to request from he </w:t>
            </w:r>
            <w:r w:rsidRPr="00CA681A">
              <w:rPr>
                <w:rFonts w:ascii="Arial" w:hAnsi="Arial" w:cs="Arial"/>
                <w:lang w:val="en-US"/>
              </w:rPr>
              <w:t xml:space="preserve">receive additional rights, to use and to disseminate the Results, on top of the Access Rights already granted under the </w:t>
            </w:r>
            <w:r>
              <w:rPr>
                <w:rFonts w:ascii="Arial" w:hAnsi="Arial" w:cs="Arial"/>
                <w:lang w:val="en-US"/>
              </w:rPr>
              <w:t>MGA</w:t>
            </w:r>
            <w:r w:rsidRPr="00CA681A">
              <w:rPr>
                <w:rFonts w:ascii="Arial" w:hAnsi="Arial" w:cs="Arial"/>
                <w:lang w:val="en-US"/>
              </w:rPr>
              <w:t xml:space="preserve"> by and between the EIT Food Partners. This means that the Results may be used in a broader and public way. This may obviously impact a commercialization strategy which would be based on a </w:t>
            </w:r>
            <w:r w:rsidR="0031757D" w:rsidRPr="00CA681A">
              <w:rPr>
                <w:rFonts w:ascii="Arial" w:hAnsi="Arial" w:cs="Arial"/>
                <w:lang w:val="en-US"/>
              </w:rPr>
              <w:t>stricter and more limited</w:t>
            </w:r>
            <w:r w:rsidRPr="00CA681A">
              <w:rPr>
                <w:rFonts w:ascii="Arial" w:hAnsi="Arial" w:cs="Arial"/>
                <w:lang w:val="en-US"/>
              </w:rPr>
              <w:t xml:space="preserve"> scheme of Access Rights.</w:t>
            </w:r>
          </w:p>
        </w:tc>
      </w:tr>
    </w:tbl>
    <w:p w14:paraId="5E0BA078" w14:textId="77777777" w:rsidR="003D4516" w:rsidRDefault="003D4516" w:rsidP="003D4516">
      <w:pPr>
        <w:jc w:val="both"/>
        <w:rPr>
          <w:rFonts w:ascii="Arial" w:hAnsi="Arial" w:cs="Arial"/>
          <w:lang w:val="en-US"/>
        </w:rPr>
      </w:pPr>
    </w:p>
    <w:p w14:paraId="7F1808E9" w14:textId="77777777" w:rsidR="003D4516" w:rsidRDefault="003D4516" w:rsidP="003D4516">
      <w:pPr>
        <w:jc w:val="both"/>
        <w:rPr>
          <w:rFonts w:ascii="Arial" w:hAnsi="Arial" w:cs="Arial"/>
          <w:lang w:val="en-G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24"/>
      </w:tblGrid>
      <w:tr w:rsidR="003D4516" w:rsidRPr="002452C6" w14:paraId="182BBFC0" w14:textId="77777777" w:rsidTr="009C416B">
        <w:tc>
          <w:tcPr>
            <w:tcW w:w="9212" w:type="dxa"/>
            <w:shd w:val="clear" w:color="auto" w:fill="auto"/>
          </w:tcPr>
          <w:p w14:paraId="581AD35F" w14:textId="77777777" w:rsidR="003D4516" w:rsidRPr="00A7646E" w:rsidRDefault="003D4516" w:rsidP="009C416B">
            <w:pPr>
              <w:pStyle w:val="Revisie1"/>
              <w:rPr>
                <w:rFonts w:cs="Calibri"/>
                <w:color w:val="000000"/>
              </w:rPr>
            </w:pPr>
            <w:r w:rsidRPr="00F048F7">
              <w:rPr>
                <w:b w:val="0"/>
                <w:color w:val="000000"/>
                <w:sz w:val="22"/>
                <w:szCs w:val="22"/>
              </w:rPr>
              <w:t xml:space="preserve">Clarification </w:t>
            </w:r>
            <w:r>
              <w:rPr>
                <w:b w:val="0"/>
                <w:color w:val="000000"/>
                <w:sz w:val="22"/>
                <w:szCs w:val="22"/>
              </w:rPr>
              <w:t>r</w:t>
            </w:r>
            <w:r w:rsidRPr="00F048F7">
              <w:rPr>
                <w:b w:val="0"/>
                <w:color w:val="000000"/>
                <w:sz w:val="22"/>
                <w:szCs w:val="22"/>
              </w:rPr>
              <w:t>egarding Background</w:t>
            </w:r>
            <w:r>
              <w:rPr>
                <w:b w:val="0"/>
                <w:color w:val="000000"/>
                <w:sz w:val="22"/>
                <w:szCs w:val="22"/>
              </w:rPr>
              <w:t xml:space="preserve">: </w:t>
            </w:r>
            <w:proofErr w:type="gramStart"/>
            <w:r w:rsidRPr="00F048F7">
              <w:rPr>
                <w:b w:val="0"/>
                <w:color w:val="000000"/>
                <w:sz w:val="22"/>
                <w:szCs w:val="22"/>
              </w:rPr>
              <w:t>the</w:t>
            </w:r>
            <w:proofErr w:type="gramEnd"/>
            <w:r w:rsidRPr="00F048F7">
              <w:rPr>
                <w:b w:val="0"/>
                <w:color w:val="000000"/>
                <w:sz w:val="22"/>
                <w:szCs w:val="22"/>
              </w:rPr>
              <w:t xml:space="preserve"> Agreement provides for a mechanism whereby KIC LE and EIT Food Partners should negotiate in good faith Access Rights to Background. There is no strict obligation to grant Access Rights to Background and in any case a compensation would be due by KIC LE for the Access Rights to the Background of</w:t>
            </w:r>
            <w:r>
              <w:rPr>
                <w:b w:val="0"/>
                <w:color w:val="000000"/>
                <w:sz w:val="22"/>
                <w:szCs w:val="22"/>
              </w:rPr>
              <w:t xml:space="preserve"> </w:t>
            </w:r>
            <w:r w:rsidRPr="00F048F7">
              <w:rPr>
                <w:b w:val="0"/>
                <w:color w:val="000000"/>
                <w:sz w:val="22"/>
                <w:szCs w:val="22"/>
              </w:rPr>
              <w:t>the EIT Food Partners</w:t>
            </w:r>
            <w:r>
              <w:rPr>
                <w:b w:val="0"/>
                <w:color w:val="000000"/>
                <w:sz w:val="22"/>
                <w:szCs w:val="22"/>
              </w:rPr>
              <w:t>.</w:t>
            </w:r>
          </w:p>
        </w:tc>
      </w:tr>
    </w:tbl>
    <w:p w14:paraId="6167F33A" w14:textId="77777777" w:rsidR="003D4516" w:rsidRPr="00585590" w:rsidRDefault="003D4516" w:rsidP="003D4516">
      <w:pPr>
        <w:rPr>
          <w:lang w:val="en-GB"/>
        </w:rPr>
      </w:pPr>
    </w:p>
    <w:p w14:paraId="6BEAE709" w14:textId="77777777" w:rsidR="003D4516" w:rsidRDefault="003D4516" w:rsidP="003D4516">
      <w:pPr>
        <w:pStyle w:val="Heading1"/>
        <w:jc w:val="both"/>
        <w:rPr>
          <w:rFonts w:ascii="Arial" w:hAnsi="Arial" w:cs="Arial"/>
          <w:color w:val="auto"/>
          <w:szCs w:val="22"/>
        </w:rPr>
      </w:pPr>
    </w:p>
    <w:p w14:paraId="2DAE44D9" w14:textId="77777777" w:rsidR="003D4516" w:rsidRDefault="003D4516" w:rsidP="003D4516">
      <w:pPr>
        <w:pStyle w:val="Heading1"/>
        <w:jc w:val="both"/>
        <w:rPr>
          <w:rFonts w:ascii="Arial" w:hAnsi="Arial" w:cs="Arial"/>
          <w:color w:val="auto"/>
          <w:szCs w:val="22"/>
        </w:rPr>
      </w:pPr>
    </w:p>
    <w:p w14:paraId="119406FC" w14:textId="77777777" w:rsidR="003D4516" w:rsidRDefault="003D4516" w:rsidP="003D4516">
      <w:pPr>
        <w:pStyle w:val="Heading1"/>
        <w:jc w:val="both"/>
        <w:rPr>
          <w:rFonts w:ascii="Arial" w:hAnsi="Arial" w:cs="Arial"/>
          <w:color w:val="auto"/>
          <w:szCs w:val="22"/>
        </w:rPr>
      </w:pPr>
    </w:p>
    <w:p w14:paraId="76DCB654" w14:textId="77777777" w:rsidR="003D4516" w:rsidRPr="00585590" w:rsidRDefault="003D4516" w:rsidP="003D4516">
      <w:pPr>
        <w:pStyle w:val="Heading1"/>
        <w:jc w:val="both"/>
        <w:rPr>
          <w:rFonts w:ascii="Arial" w:hAnsi="Arial" w:cs="Arial"/>
          <w:color w:val="auto"/>
          <w:szCs w:val="22"/>
        </w:rPr>
      </w:pPr>
      <w:r w:rsidRPr="00585590">
        <w:rPr>
          <w:rFonts w:ascii="Arial" w:hAnsi="Arial" w:cs="Arial"/>
          <w:color w:val="auto"/>
          <w:szCs w:val="22"/>
        </w:rPr>
        <w:t>Signatures</w:t>
      </w:r>
    </w:p>
    <w:p w14:paraId="0C4BAAFB" w14:textId="77777777" w:rsidR="003D4516" w:rsidRDefault="003D4516" w:rsidP="003D4516">
      <w:pPr>
        <w:pStyle w:val="Revisie1"/>
        <w:jc w:val="both"/>
        <w:rPr>
          <w:b w:val="0"/>
          <w:color w:val="000000"/>
          <w:sz w:val="22"/>
          <w:szCs w:val="22"/>
        </w:rPr>
      </w:pPr>
      <w:r>
        <w:rPr>
          <w:b w:val="0"/>
          <w:color w:val="000000"/>
          <w:sz w:val="22"/>
          <w:szCs w:val="22"/>
        </w:rPr>
        <w:t xml:space="preserve">The Parties have caused this Agreement to be duly signed by the undersigned authorised representatives in separate signature pages the day and year first above written. </w:t>
      </w:r>
    </w:p>
    <w:p w14:paraId="4DEB1967" w14:textId="77777777" w:rsidR="003D4516" w:rsidRDefault="003D4516" w:rsidP="003D4516">
      <w:pPr>
        <w:pStyle w:val="Revisie1"/>
        <w:jc w:val="both"/>
        <w:rPr>
          <w:b w:val="0"/>
          <w:color w:val="000000"/>
          <w:sz w:val="22"/>
          <w:szCs w:val="22"/>
        </w:rPr>
      </w:pPr>
    </w:p>
    <w:p w14:paraId="4F3A636D" w14:textId="77777777" w:rsidR="003D4516" w:rsidRDefault="003D4516" w:rsidP="003D4516">
      <w:pPr>
        <w:pStyle w:val="NormalWeb"/>
        <w:spacing w:before="0" w:after="0"/>
        <w:jc w:val="both"/>
        <w:rPr>
          <w:rFonts w:ascii="Arial" w:eastAsia="SimSun" w:hAnsi="Arial" w:cs="Arial"/>
          <w:color w:val="000000"/>
          <w:spacing w:val="-3"/>
          <w:sz w:val="22"/>
          <w:szCs w:val="22"/>
          <w:lang w:val="en-GB" w:eastAsia="ar-SA"/>
        </w:rPr>
      </w:pPr>
      <w:r>
        <w:rPr>
          <w:rFonts w:ascii="Arial" w:eastAsia="SimSun" w:hAnsi="Arial" w:cs="Arial"/>
          <w:color w:val="000000"/>
          <w:spacing w:val="-3"/>
          <w:sz w:val="22"/>
          <w:szCs w:val="22"/>
          <w:lang w:val="en-GB" w:eastAsia="ar-SA"/>
        </w:rPr>
        <w:t>The signature of a Party by means of a scan or digitization of the original signature (</w:t>
      </w:r>
      <w:proofErr w:type="gramStart"/>
      <w:r>
        <w:rPr>
          <w:rFonts w:ascii="Arial" w:eastAsia="SimSun" w:hAnsi="Arial" w:cs="Arial"/>
          <w:color w:val="000000"/>
          <w:spacing w:val="-3"/>
          <w:sz w:val="22"/>
          <w:szCs w:val="22"/>
          <w:lang w:val="en-GB" w:eastAsia="ar-SA"/>
        </w:rPr>
        <w:t>e.g.</w:t>
      </w:r>
      <w:proofErr w:type="gramEnd"/>
      <w:r>
        <w:rPr>
          <w:rFonts w:ascii="Arial" w:eastAsia="SimSun" w:hAnsi="Arial" w:cs="Arial"/>
          <w:color w:val="000000"/>
          <w:spacing w:val="-3"/>
          <w:sz w:val="22"/>
          <w:szCs w:val="22"/>
          <w:lang w:val="en-GB" w:eastAsia="ar-SA"/>
        </w:rPr>
        <w:t xml:space="preserve"> a scan in PDF format) or an electronic signature (e.g. via </w:t>
      </w:r>
      <w:proofErr w:type="spellStart"/>
      <w:r>
        <w:rPr>
          <w:rFonts w:ascii="Arial" w:eastAsia="SimSun" w:hAnsi="Arial" w:cs="Arial"/>
          <w:color w:val="000000"/>
          <w:spacing w:val="-3"/>
          <w:sz w:val="22"/>
          <w:szCs w:val="22"/>
          <w:lang w:val="en-GB" w:eastAsia="ar-SA"/>
        </w:rPr>
        <w:t>AdobeSign</w:t>
      </w:r>
      <w:proofErr w:type="spellEnd"/>
      <w:r>
        <w:rPr>
          <w:rFonts w:ascii="Arial" w:eastAsia="SimSun" w:hAnsi="Arial" w:cs="Arial"/>
          <w:color w:val="000000"/>
          <w:spacing w:val="-3"/>
          <w:sz w:val="22"/>
          <w:szCs w:val="22"/>
          <w:lang w:val="en-GB" w:eastAsia="ar-SA"/>
        </w:rPr>
        <w:t>), counts as an original signature with the same validity, enforceability and permissibility. Each Party receives a fully signed copy of the Agreement. The transfer of this copy by e-mail or via an electronic signature system will have the same legal force and legal effect as the transfer of the original copy of the Agreement.</w:t>
      </w:r>
    </w:p>
    <w:p w14:paraId="0E0532BA" w14:textId="77777777" w:rsidR="003D4516" w:rsidRDefault="003D4516" w:rsidP="003D4516">
      <w:pPr>
        <w:jc w:val="both"/>
        <w:rPr>
          <w:rFonts w:ascii="Arial" w:eastAsia="Times New Roman" w:hAnsi="Arial" w:cs="Arial"/>
          <w:b/>
          <w:bCs/>
          <w:color w:val="44546A"/>
          <w:lang w:val="fr-FR"/>
        </w:rPr>
      </w:pPr>
    </w:p>
    <w:p w14:paraId="7877D326" w14:textId="77777777" w:rsidR="003D4516" w:rsidRDefault="003D4516" w:rsidP="003D4516">
      <w:pPr>
        <w:jc w:val="both"/>
        <w:rPr>
          <w:rFonts w:ascii="Arial" w:eastAsia="Times New Roman" w:hAnsi="Arial" w:cs="Arial"/>
          <w:b/>
          <w:bCs/>
          <w:color w:val="44546A"/>
          <w:lang w:val="fr-FR"/>
        </w:rPr>
      </w:pPr>
    </w:p>
    <w:p w14:paraId="27EC40E2" w14:textId="77777777" w:rsidR="003D4516" w:rsidRDefault="003D4516" w:rsidP="003D4516">
      <w:pPr>
        <w:jc w:val="both"/>
        <w:rPr>
          <w:rFonts w:ascii="Arial" w:eastAsia="Times New Roman" w:hAnsi="Arial" w:cs="Arial"/>
          <w:b/>
          <w:bCs/>
          <w:color w:val="44546A"/>
          <w:lang w:val="fr-FR"/>
        </w:rPr>
      </w:pPr>
    </w:p>
    <w:p w14:paraId="2D81DD1E" w14:textId="77777777" w:rsidR="003D4516" w:rsidRDefault="003D4516" w:rsidP="003D4516">
      <w:pPr>
        <w:jc w:val="both"/>
        <w:rPr>
          <w:rFonts w:ascii="Arial" w:eastAsia="Times New Roman" w:hAnsi="Arial" w:cs="Arial"/>
          <w:b/>
          <w:bCs/>
          <w:color w:val="44546A"/>
          <w:lang w:val="fr-FR"/>
        </w:rPr>
      </w:pPr>
    </w:p>
    <w:p w14:paraId="6A0C9885" w14:textId="77777777" w:rsidR="003D4516" w:rsidRDefault="003D4516" w:rsidP="003D4516">
      <w:pPr>
        <w:pStyle w:val="Revision"/>
        <w:jc w:val="both"/>
        <w:rPr>
          <w:b w:val="0"/>
          <w:color w:val="000000"/>
          <w:sz w:val="22"/>
          <w:szCs w:val="22"/>
        </w:rPr>
      </w:pPr>
      <w:r>
        <w:rPr>
          <w:b w:val="0"/>
          <w:sz w:val="22"/>
          <w:szCs w:val="22"/>
        </w:rPr>
        <w:t>KIC LE</w:t>
      </w:r>
    </w:p>
    <w:p w14:paraId="0044113E" w14:textId="77777777" w:rsidR="003D4516" w:rsidRDefault="003D4516" w:rsidP="003D4516">
      <w:pPr>
        <w:spacing w:after="200" w:line="276" w:lineRule="auto"/>
        <w:jc w:val="both"/>
        <w:rPr>
          <w:rFonts w:ascii="Arial" w:hAnsi="Arial" w:cs="Arial"/>
          <w:shd w:val="clear" w:color="auto" w:fill="C0C0C0"/>
          <w:lang w:val="en-GB"/>
        </w:rPr>
      </w:pPr>
    </w:p>
    <w:p w14:paraId="4E5632B7" w14:textId="77777777" w:rsidR="003D4516" w:rsidRDefault="003D4516" w:rsidP="003D4516">
      <w:pPr>
        <w:spacing w:after="200" w:line="276" w:lineRule="auto"/>
        <w:jc w:val="both"/>
        <w:rPr>
          <w:rFonts w:ascii="Arial" w:hAnsi="Arial" w:cs="Arial"/>
          <w:shd w:val="clear" w:color="auto" w:fill="C0C0C0"/>
          <w:lang w:val="en-GB"/>
        </w:rPr>
      </w:pPr>
    </w:p>
    <w:p w14:paraId="5BE4835A" w14:textId="77777777" w:rsidR="003D4516" w:rsidRDefault="003D4516" w:rsidP="003D4516">
      <w:pPr>
        <w:pStyle w:val="Revision"/>
        <w:jc w:val="both"/>
        <w:rPr>
          <w:b w:val="0"/>
          <w:sz w:val="22"/>
          <w:szCs w:val="22"/>
        </w:rPr>
      </w:pPr>
      <w:r>
        <w:rPr>
          <w:b w:val="0"/>
          <w:sz w:val="22"/>
          <w:szCs w:val="22"/>
        </w:rPr>
        <w:t>[EIT FOOD PARTNER]</w:t>
      </w:r>
    </w:p>
    <w:p w14:paraId="688FF8FF" w14:textId="77777777" w:rsidR="003D4516" w:rsidRDefault="003D4516" w:rsidP="003D4516">
      <w:pPr>
        <w:pStyle w:val="Revision"/>
        <w:jc w:val="both"/>
        <w:rPr>
          <w:b w:val="0"/>
          <w:color w:val="000000"/>
          <w:sz w:val="22"/>
          <w:szCs w:val="22"/>
        </w:rPr>
      </w:pPr>
    </w:p>
    <w:p w14:paraId="76503EA7" w14:textId="77777777" w:rsidR="003D4516" w:rsidRDefault="003D4516" w:rsidP="003D4516">
      <w:pPr>
        <w:pStyle w:val="Revision"/>
        <w:jc w:val="both"/>
        <w:rPr>
          <w:b w:val="0"/>
          <w:color w:val="000000"/>
          <w:sz w:val="22"/>
          <w:szCs w:val="22"/>
        </w:rPr>
      </w:pPr>
      <w:r>
        <w:rPr>
          <w:b w:val="0"/>
          <w:color w:val="000000"/>
          <w:sz w:val="22"/>
          <w:szCs w:val="22"/>
        </w:rPr>
        <w:br/>
      </w:r>
    </w:p>
    <w:p w14:paraId="7F807BB5" w14:textId="77777777" w:rsidR="003D4516" w:rsidRDefault="003D4516" w:rsidP="003D4516">
      <w:pPr>
        <w:jc w:val="both"/>
        <w:rPr>
          <w:rFonts w:ascii="Arial" w:eastAsia="SimSun" w:hAnsi="Arial" w:cs="Arial"/>
          <w:b/>
          <w:color w:val="000000"/>
          <w:spacing w:val="-3"/>
          <w:shd w:val="clear" w:color="auto" w:fill="C0C0C0"/>
          <w:lang w:val="en-GB" w:eastAsia="ar-SA"/>
        </w:rPr>
      </w:pPr>
    </w:p>
    <w:p w14:paraId="7F16D672" w14:textId="77777777" w:rsidR="003D4516" w:rsidRDefault="003D4516" w:rsidP="003D4516">
      <w:pPr>
        <w:jc w:val="both"/>
      </w:pPr>
    </w:p>
    <w:p w14:paraId="2A2DD1D2" w14:textId="77777777" w:rsidR="003D4516" w:rsidRDefault="003D4516" w:rsidP="003D4516">
      <w:pPr>
        <w:jc w:val="both"/>
        <w:rPr>
          <w:rFonts w:ascii="Arial" w:hAnsi="Arial" w:cs="Arial"/>
          <w:lang w:val="en-US"/>
        </w:rPr>
      </w:pPr>
    </w:p>
    <w:p w14:paraId="3AD72940" w14:textId="77777777" w:rsidR="003D4516" w:rsidRDefault="003D4516" w:rsidP="003D4516">
      <w:pPr>
        <w:rPr>
          <w:lang w:val="en-GB"/>
        </w:rPr>
      </w:pPr>
    </w:p>
    <w:p w14:paraId="6B564C6C" w14:textId="77777777" w:rsidR="003D4516" w:rsidRDefault="003D4516" w:rsidP="003D4516">
      <w:pPr>
        <w:rPr>
          <w:lang w:val="en-GB"/>
        </w:rPr>
      </w:pPr>
    </w:p>
    <w:p w14:paraId="68BEB2B5" w14:textId="77777777" w:rsidR="003D4516" w:rsidRDefault="003D4516" w:rsidP="003D4516">
      <w:pPr>
        <w:rPr>
          <w:lang w:val="en-GB"/>
        </w:rPr>
      </w:pPr>
    </w:p>
    <w:p w14:paraId="76DAC41C" w14:textId="77777777" w:rsidR="003D4516" w:rsidRDefault="003D4516" w:rsidP="003D4516">
      <w:pPr>
        <w:rPr>
          <w:lang w:val="en-GB"/>
        </w:rPr>
      </w:pPr>
    </w:p>
    <w:p w14:paraId="41A257C3" w14:textId="77777777" w:rsidR="003D4516" w:rsidRDefault="003D4516" w:rsidP="003D4516">
      <w:pPr>
        <w:rPr>
          <w:lang w:val="en-GB"/>
        </w:rPr>
      </w:pPr>
    </w:p>
    <w:p w14:paraId="0C0DBBC5" w14:textId="77777777" w:rsidR="003D4516" w:rsidRDefault="003D4516" w:rsidP="003D4516">
      <w:pPr>
        <w:rPr>
          <w:lang w:val="en-GB"/>
        </w:rPr>
      </w:pPr>
    </w:p>
    <w:p w14:paraId="05E92593" w14:textId="4E6EF988" w:rsidR="003D4516" w:rsidRDefault="003D4516" w:rsidP="003D4516">
      <w:pPr>
        <w:rPr>
          <w:lang w:val="en-GB"/>
        </w:rPr>
      </w:pPr>
    </w:p>
    <w:p w14:paraId="1267B21F" w14:textId="2F290F54" w:rsidR="0031757D" w:rsidRDefault="0031757D" w:rsidP="003D4516">
      <w:pPr>
        <w:rPr>
          <w:lang w:val="en-GB"/>
        </w:rPr>
      </w:pPr>
    </w:p>
    <w:p w14:paraId="553DC89B" w14:textId="3E45B9E6" w:rsidR="0031757D" w:rsidRDefault="0031757D" w:rsidP="003D4516">
      <w:pPr>
        <w:rPr>
          <w:lang w:val="en-GB"/>
        </w:rPr>
      </w:pPr>
    </w:p>
    <w:p w14:paraId="13F9935C" w14:textId="77777777" w:rsidR="0031757D" w:rsidRDefault="0031757D" w:rsidP="003D4516">
      <w:pPr>
        <w:rPr>
          <w:lang w:val="en-GB"/>
        </w:rPr>
      </w:pPr>
    </w:p>
    <w:p w14:paraId="5C5323EF" w14:textId="77777777" w:rsidR="003D4516" w:rsidRDefault="003D4516" w:rsidP="003D4516">
      <w:pPr>
        <w:rPr>
          <w:lang w:val="en-GB"/>
        </w:rPr>
      </w:pPr>
    </w:p>
    <w:p w14:paraId="7C96761E" w14:textId="77777777" w:rsidR="003D4516" w:rsidRDefault="003D4516" w:rsidP="003D4516">
      <w:pPr>
        <w:spacing w:after="0" w:line="240" w:lineRule="auto"/>
        <w:rPr>
          <w:rFonts w:ascii="Arial" w:hAnsi="Arial" w:cs="Arial"/>
          <w:b/>
          <w:bCs/>
          <w:lang w:val="en-GB"/>
        </w:rPr>
      </w:pPr>
      <w:r>
        <w:rPr>
          <w:rFonts w:ascii="Arial" w:hAnsi="Arial" w:cs="Arial"/>
          <w:b/>
          <w:bCs/>
          <w:lang w:val="en-GB"/>
        </w:rPr>
        <w:lastRenderedPageBreak/>
        <w:t xml:space="preserve">ANNEX I Terms for Revenue Sharing </w:t>
      </w:r>
      <w:proofErr w:type="gramStart"/>
      <w:r>
        <w:rPr>
          <w:rFonts w:ascii="Arial" w:hAnsi="Arial" w:cs="Arial"/>
          <w:b/>
          <w:bCs/>
          <w:lang w:val="en-GB"/>
        </w:rPr>
        <w:t>Mechanism  Agreement</w:t>
      </w:r>
      <w:proofErr w:type="gramEnd"/>
      <w:r>
        <w:rPr>
          <w:rFonts w:ascii="Arial" w:hAnsi="Arial" w:cs="Arial"/>
          <w:b/>
          <w:bCs/>
          <w:lang w:val="en-GB"/>
        </w:rPr>
        <w:t xml:space="preserve"> (RSMA)</w:t>
      </w:r>
    </w:p>
    <w:p w14:paraId="333E4520" w14:textId="77777777" w:rsidR="003D4516" w:rsidRDefault="003D4516" w:rsidP="003D4516">
      <w:pPr>
        <w:spacing w:after="0" w:line="240" w:lineRule="auto"/>
        <w:rPr>
          <w:rFonts w:ascii="Arial" w:hAnsi="Arial" w:cs="Arial"/>
          <w:b/>
          <w:bCs/>
          <w:lang w:val="en-GB"/>
        </w:rPr>
      </w:pPr>
    </w:p>
    <w:tbl>
      <w:tblPr>
        <w:tblStyle w:val="TableGrid"/>
        <w:tblW w:w="10201" w:type="dxa"/>
        <w:tblInd w:w="0" w:type="dxa"/>
        <w:tblLook w:val="04A0" w:firstRow="1" w:lastRow="0" w:firstColumn="1" w:lastColumn="0" w:noHBand="0" w:noVBand="1"/>
      </w:tblPr>
      <w:tblGrid>
        <w:gridCol w:w="1037"/>
        <w:gridCol w:w="16"/>
        <w:gridCol w:w="218"/>
        <w:gridCol w:w="992"/>
        <w:gridCol w:w="1134"/>
        <w:gridCol w:w="340"/>
        <w:gridCol w:w="794"/>
        <w:gridCol w:w="925"/>
        <w:gridCol w:w="156"/>
        <w:gridCol w:w="1088"/>
        <w:gridCol w:w="858"/>
        <w:gridCol w:w="29"/>
        <w:gridCol w:w="972"/>
        <w:gridCol w:w="1265"/>
        <w:gridCol w:w="377"/>
      </w:tblGrid>
      <w:tr w:rsidR="003D4516" w14:paraId="5F7D472A" w14:textId="77777777" w:rsidTr="009C416B">
        <w:trPr>
          <w:trHeight w:val="208"/>
        </w:trPr>
        <w:tc>
          <w:tcPr>
            <w:tcW w:w="103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6EEA993" w14:textId="77777777" w:rsidR="003D4516" w:rsidRDefault="003D4516" w:rsidP="009C416B">
            <w:pPr>
              <w:rPr>
                <w:b/>
                <w:bCs/>
                <w:sz w:val="18"/>
                <w:szCs w:val="18"/>
              </w:rPr>
            </w:pPr>
            <w:r>
              <w:rPr>
                <w:lang w:val="en-GB"/>
              </w:rPr>
              <w:br w:type="page"/>
            </w:r>
            <w:r>
              <w:rPr>
                <w:lang w:val="en-GB"/>
              </w:rPr>
              <w:br w:type="page"/>
            </w:r>
            <w:r>
              <w:rPr>
                <w:b/>
                <w:bCs/>
                <w:sz w:val="18"/>
                <w:szCs w:val="18"/>
              </w:rPr>
              <w:t>KAVA #</w:t>
            </w:r>
          </w:p>
        </w:tc>
        <w:tc>
          <w:tcPr>
            <w:tcW w:w="4419"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EC5B26" w14:textId="77777777" w:rsidR="003D4516" w:rsidRDefault="003D4516" w:rsidP="009C416B">
            <w:pPr>
              <w:rPr>
                <w:b/>
                <w:bCs/>
                <w:sz w:val="18"/>
                <w:szCs w:val="18"/>
              </w:rPr>
            </w:pPr>
            <w:r>
              <w:rPr>
                <w:b/>
                <w:bCs/>
                <w:sz w:val="18"/>
                <w:szCs w:val="18"/>
              </w:rPr>
              <w:t>Project Title</w:t>
            </w:r>
          </w:p>
        </w:tc>
        <w:tc>
          <w:tcPr>
            <w:tcW w:w="2102"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2718643" w14:textId="77777777" w:rsidR="003D4516" w:rsidRDefault="003D4516" w:rsidP="009C416B">
            <w:pPr>
              <w:rPr>
                <w:b/>
                <w:bCs/>
                <w:sz w:val="18"/>
                <w:szCs w:val="18"/>
              </w:rPr>
            </w:pPr>
            <w:r>
              <w:rPr>
                <w:b/>
                <w:bCs/>
                <w:sz w:val="18"/>
                <w:szCs w:val="18"/>
              </w:rPr>
              <w:t>Activity Leader</w:t>
            </w:r>
          </w:p>
        </w:tc>
        <w:tc>
          <w:tcPr>
            <w:tcW w:w="264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838A0CA" w14:textId="77777777" w:rsidR="003D4516" w:rsidRDefault="003D4516" w:rsidP="009C416B">
            <w:pPr>
              <w:rPr>
                <w:b/>
                <w:bCs/>
                <w:sz w:val="18"/>
                <w:szCs w:val="18"/>
              </w:rPr>
            </w:pPr>
            <w:r>
              <w:rPr>
                <w:b/>
                <w:bCs/>
                <w:sz w:val="18"/>
                <w:szCs w:val="18"/>
              </w:rPr>
              <w:t>EIT Food amended grant</w:t>
            </w:r>
          </w:p>
        </w:tc>
      </w:tr>
      <w:tr w:rsidR="003D4516" w14:paraId="2AD30CDC" w14:textId="77777777" w:rsidTr="009C416B">
        <w:trPr>
          <w:trHeight w:val="336"/>
        </w:trPr>
        <w:tc>
          <w:tcPr>
            <w:tcW w:w="1037" w:type="dxa"/>
            <w:tcBorders>
              <w:top w:val="single" w:sz="4" w:space="0" w:color="auto"/>
              <w:left w:val="single" w:sz="4" w:space="0" w:color="auto"/>
              <w:bottom w:val="single" w:sz="4" w:space="0" w:color="auto"/>
              <w:right w:val="single" w:sz="4" w:space="0" w:color="auto"/>
            </w:tcBorders>
            <w:hideMark/>
          </w:tcPr>
          <w:p w14:paraId="641FF1AB" w14:textId="77777777" w:rsidR="003D4516" w:rsidRDefault="003D4516" w:rsidP="009C416B">
            <w:pPr>
              <w:rPr>
                <w:sz w:val="18"/>
                <w:szCs w:val="18"/>
              </w:rPr>
            </w:pPr>
          </w:p>
        </w:tc>
        <w:tc>
          <w:tcPr>
            <w:tcW w:w="4419" w:type="dxa"/>
            <w:gridSpan w:val="7"/>
            <w:tcBorders>
              <w:top w:val="single" w:sz="4" w:space="0" w:color="auto"/>
              <w:left w:val="single" w:sz="4" w:space="0" w:color="auto"/>
              <w:bottom w:val="single" w:sz="4" w:space="0" w:color="auto"/>
              <w:right w:val="single" w:sz="4" w:space="0" w:color="auto"/>
            </w:tcBorders>
            <w:hideMark/>
          </w:tcPr>
          <w:p w14:paraId="38871E0A" w14:textId="77777777" w:rsidR="003D4516" w:rsidRDefault="003D4516" w:rsidP="009C416B">
            <w:pPr>
              <w:rPr>
                <w:rFonts w:cs="Calibri"/>
                <w:color w:val="000000"/>
                <w:sz w:val="18"/>
                <w:szCs w:val="18"/>
                <w:lang w:val="en-GB"/>
              </w:rPr>
            </w:pPr>
            <w:bookmarkStart w:id="9" w:name="OpenAt"/>
            <w:bookmarkEnd w:id="9"/>
          </w:p>
        </w:tc>
        <w:tc>
          <w:tcPr>
            <w:tcW w:w="2102" w:type="dxa"/>
            <w:gridSpan w:val="3"/>
            <w:tcBorders>
              <w:top w:val="single" w:sz="4" w:space="0" w:color="auto"/>
              <w:left w:val="single" w:sz="4" w:space="0" w:color="auto"/>
              <w:bottom w:val="single" w:sz="4" w:space="0" w:color="auto"/>
              <w:right w:val="single" w:sz="4" w:space="0" w:color="auto"/>
            </w:tcBorders>
            <w:hideMark/>
          </w:tcPr>
          <w:p w14:paraId="32983535" w14:textId="77777777" w:rsidR="003D4516" w:rsidRDefault="003D4516" w:rsidP="009C416B">
            <w:pPr>
              <w:rPr>
                <w:sz w:val="18"/>
                <w:szCs w:val="18"/>
                <w:lang w:val="en-GB"/>
              </w:rPr>
            </w:pPr>
          </w:p>
        </w:tc>
        <w:tc>
          <w:tcPr>
            <w:tcW w:w="2643" w:type="dxa"/>
            <w:gridSpan w:val="4"/>
            <w:tcBorders>
              <w:top w:val="single" w:sz="4" w:space="0" w:color="auto"/>
              <w:left w:val="single" w:sz="4" w:space="0" w:color="auto"/>
              <w:bottom w:val="single" w:sz="4" w:space="0" w:color="auto"/>
              <w:right w:val="single" w:sz="4" w:space="0" w:color="auto"/>
            </w:tcBorders>
            <w:hideMark/>
          </w:tcPr>
          <w:p w14:paraId="143E0859" w14:textId="77777777" w:rsidR="003D4516" w:rsidRDefault="003D4516" w:rsidP="009C416B">
            <w:pPr>
              <w:rPr>
                <w:sz w:val="18"/>
                <w:szCs w:val="18"/>
                <w:lang w:val="en-GB"/>
              </w:rPr>
            </w:pPr>
          </w:p>
        </w:tc>
      </w:tr>
      <w:tr w:rsidR="003D4516" w14:paraId="4AAD02A6" w14:textId="77777777" w:rsidTr="009C416B">
        <w:trPr>
          <w:trHeight w:val="336"/>
        </w:trPr>
        <w:tc>
          <w:tcPr>
            <w:tcW w:w="2263"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7DA1152E" w14:textId="77777777" w:rsidR="003D4516" w:rsidRDefault="003D4516" w:rsidP="009C416B">
            <w:pPr>
              <w:rPr>
                <w:rFonts w:cs="Calibri"/>
                <w:b/>
                <w:bCs/>
                <w:color w:val="000000"/>
                <w:sz w:val="18"/>
                <w:szCs w:val="18"/>
                <w:lang w:val="en-GB"/>
              </w:rPr>
            </w:pPr>
            <w:r>
              <w:rPr>
                <w:b/>
                <w:bCs/>
                <w:sz w:val="18"/>
                <w:szCs w:val="18"/>
              </w:rPr>
              <w:t>Responsible Exploiting partner</w:t>
            </w:r>
          </w:p>
        </w:tc>
        <w:tc>
          <w:tcPr>
            <w:tcW w:w="147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7B68DEF" w14:textId="77777777" w:rsidR="003D4516" w:rsidRDefault="003D4516" w:rsidP="009C416B">
            <w:pPr>
              <w:rPr>
                <w:rFonts w:cs="Calibri"/>
                <w:b/>
                <w:bCs/>
                <w:color w:val="000000"/>
                <w:sz w:val="18"/>
                <w:szCs w:val="18"/>
                <w:lang w:val="en-GB"/>
              </w:rPr>
            </w:pPr>
            <w:r>
              <w:rPr>
                <w:rFonts w:cs="Calibri"/>
                <w:b/>
                <w:bCs/>
                <w:color w:val="000000"/>
                <w:sz w:val="18"/>
                <w:szCs w:val="18"/>
                <w:lang w:val="en-GB"/>
              </w:rPr>
              <w:t>Contact Person</w:t>
            </w:r>
          </w:p>
        </w:tc>
        <w:tc>
          <w:tcPr>
            <w:tcW w:w="187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16FC5FE" w14:textId="77777777" w:rsidR="003D4516" w:rsidRDefault="003D4516" w:rsidP="009C416B">
            <w:pPr>
              <w:rPr>
                <w:rFonts w:cs="Calibri"/>
                <w:b/>
                <w:bCs/>
                <w:color w:val="000000"/>
                <w:sz w:val="18"/>
                <w:szCs w:val="18"/>
                <w:lang w:val="en-GB"/>
              </w:rPr>
            </w:pPr>
            <w:r>
              <w:rPr>
                <w:rFonts w:cs="Calibri"/>
                <w:b/>
                <w:bCs/>
                <w:color w:val="000000"/>
                <w:sz w:val="18"/>
                <w:szCs w:val="18"/>
                <w:lang w:val="en-GB"/>
              </w:rPr>
              <w:t>Function</w:t>
            </w:r>
          </w:p>
        </w:tc>
        <w:tc>
          <w:tcPr>
            <w:tcW w:w="4589"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80B75A4" w14:textId="77777777" w:rsidR="003D4516" w:rsidRDefault="003D4516" w:rsidP="009C416B">
            <w:pPr>
              <w:rPr>
                <w:b/>
                <w:bCs/>
                <w:sz w:val="18"/>
                <w:szCs w:val="18"/>
                <w:lang w:val="en-GB"/>
              </w:rPr>
            </w:pPr>
            <w:r>
              <w:rPr>
                <w:b/>
                <w:bCs/>
                <w:sz w:val="18"/>
                <w:szCs w:val="18"/>
                <w:lang w:val="en-GB"/>
              </w:rPr>
              <w:t>Contact data</w:t>
            </w:r>
          </w:p>
        </w:tc>
      </w:tr>
      <w:tr w:rsidR="003D4516" w14:paraId="121FD2CE" w14:textId="77777777" w:rsidTr="009C416B">
        <w:trPr>
          <w:trHeight w:val="336"/>
        </w:trPr>
        <w:tc>
          <w:tcPr>
            <w:tcW w:w="2263" w:type="dxa"/>
            <w:gridSpan w:val="4"/>
            <w:tcBorders>
              <w:top w:val="single" w:sz="4" w:space="0" w:color="auto"/>
              <w:left w:val="single" w:sz="4" w:space="0" w:color="auto"/>
              <w:bottom w:val="single" w:sz="4" w:space="0" w:color="auto"/>
              <w:right w:val="single" w:sz="4" w:space="0" w:color="auto"/>
            </w:tcBorders>
          </w:tcPr>
          <w:p w14:paraId="6A4B6D9F" w14:textId="77777777" w:rsidR="003D4516" w:rsidRDefault="003D4516" w:rsidP="009C416B">
            <w:pPr>
              <w:rPr>
                <w:rFonts w:cs="Calibri"/>
                <w:color w:val="000000"/>
                <w:sz w:val="18"/>
                <w:szCs w:val="18"/>
                <w:lang w:val="en-GB"/>
              </w:rPr>
            </w:pPr>
          </w:p>
        </w:tc>
        <w:tc>
          <w:tcPr>
            <w:tcW w:w="1474" w:type="dxa"/>
            <w:gridSpan w:val="2"/>
            <w:tcBorders>
              <w:top w:val="single" w:sz="4" w:space="0" w:color="auto"/>
              <w:left w:val="single" w:sz="4" w:space="0" w:color="auto"/>
              <w:bottom w:val="single" w:sz="4" w:space="0" w:color="auto"/>
              <w:right w:val="single" w:sz="4" w:space="0" w:color="auto"/>
            </w:tcBorders>
          </w:tcPr>
          <w:p w14:paraId="6AB96C5D" w14:textId="77777777" w:rsidR="003D4516" w:rsidRDefault="003D4516" w:rsidP="009C416B">
            <w:pPr>
              <w:rPr>
                <w:rFonts w:cs="Calibri"/>
                <w:color w:val="000000"/>
                <w:sz w:val="18"/>
                <w:szCs w:val="18"/>
                <w:lang w:val="en-GB"/>
              </w:rPr>
            </w:pPr>
          </w:p>
        </w:tc>
        <w:tc>
          <w:tcPr>
            <w:tcW w:w="1875" w:type="dxa"/>
            <w:gridSpan w:val="3"/>
            <w:tcBorders>
              <w:top w:val="single" w:sz="4" w:space="0" w:color="auto"/>
              <w:left w:val="single" w:sz="4" w:space="0" w:color="auto"/>
              <w:bottom w:val="single" w:sz="4" w:space="0" w:color="auto"/>
              <w:right w:val="single" w:sz="4" w:space="0" w:color="auto"/>
            </w:tcBorders>
          </w:tcPr>
          <w:p w14:paraId="667F126F" w14:textId="77777777" w:rsidR="003D4516" w:rsidRDefault="003D4516" w:rsidP="009C416B">
            <w:pPr>
              <w:rPr>
                <w:rFonts w:cs="Calibri"/>
                <w:color w:val="000000"/>
                <w:sz w:val="18"/>
                <w:szCs w:val="18"/>
                <w:lang w:val="en-GB"/>
              </w:rPr>
            </w:pPr>
          </w:p>
        </w:tc>
        <w:tc>
          <w:tcPr>
            <w:tcW w:w="4589" w:type="dxa"/>
            <w:gridSpan w:val="6"/>
            <w:tcBorders>
              <w:top w:val="single" w:sz="4" w:space="0" w:color="auto"/>
              <w:left w:val="single" w:sz="4" w:space="0" w:color="auto"/>
              <w:bottom w:val="single" w:sz="4" w:space="0" w:color="auto"/>
              <w:right w:val="single" w:sz="4" w:space="0" w:color="auto"/>
            </w:tcBorders>
          </w:tcPr>
          <w:p w14:paraId="33F326AF" w14:textId="77777777" w:rsidR="003D4516" w:rsidRDefault="003D4516" w:rsidP="009C416B">
            <w:pPr>
              <w:rPr>
                <w:sz w:val="18"/>
                <w:szCs w:val="18"/>
                <w:lang w:val="en-GB"/>
              </w:rPr>
            </w:pPr>
          </w:p>
        </w:tc>
      </w:tr>
      <w:tr w:rsidR="003D4516" w14:paraId="5ABB226B"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E6EA65" w14:textId="77777777" w:rsidR="003D4516" w:rsidRDefault="003D4516" w:rsidP="009C416B">
            <w:pPr>
              <w:tabs>
                <w:tab w:val="left" w:pos="2880"/>
              </w:tabs>
              <w:rPr>
                <w:b/>
                <w:bCs/>
                <w:sz w:val="18"/>
                <w:szCs w:val="18"/>
              </w:rPr>
            </w:pPr>
            <w:bookmarkStart w:id="10" w:name="_Hlk53560644"/>
            <w:r>
              <w:rPr>
                <w:b/>
                <w:bCs/>
                <w:sz w:val="18"/>
                <w:szCs w:val="18"/>
              </w:rPr>
              <w:t>Key Exploitable Results  (KER)</w:t>
            </w:r>
          </w:p>
        </w:tc>
        <w:bookmarkEnd w:id="10"/>
      </w:tr>
      <w:tr w:rsidR="003D4516" w14:paraId="2B59CD7B" w14:textId="77777777" w:rsidTr="009C416B">
        <w:trPr>
          <w:trHeight w:val="208"/>
        </w:trPr>
        <w:tc>
          <w:tcPr>
            <w:tcW w:w="10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8245B21" w14:textId="77777777" w:rsidR="003D4516" w:rsidRDefault="003D4516" w:rsidP="009C416B">
            <w:pPr>
              <w:rPr>
                <w:b/>
                <w:bCs/>
                <w:sz w:val="18"/>
                <w:szCs w:val="18"/>
              </w:rPr>
            </w:pPr>
            <w:r>
              <w:rPr>
                <w:b/>
                <w:bCs/>
                <w:sz w:val="18"/>
                <w:szCs w:val="18"/>
              </w:rPr>
              <w:t>#</w:t>
            </w:r>
          </w:p>
        </w:tc>
        <w:tc>
          <w:tcPr>
            <w:tcW w:w="4559"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5C8EF49" w14:textId="77777777" w:rsidR="003D4516" w:rsidRDefault="003D4516" w:rsidP="009C416B">
            <w:pPr>
              <w:rPr>
                <w:b/>
                <w:bCs/>
                <w:sz w:val="18"/>
                <w:szCs w:val="18"/>
              </w:rPr>
            </w:pPr>
            <w:r>
              <w:rPr>
                <w:b/>
                <w:bCs/>
                <w:sz w:val="18"/>
                <w:szCs w:val="18"/>
              </w:rPr>
              <w:t>Title</w:t>
            </w:r>
          </w:p>
        </w:tc>
        <w:tc>
          <w:tcPr>
            <w:tcW w:w="4589"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908563" w14:textId="77777777" w:rsidR="003D4516" w:rsidRDefault="003D4516" w:rsidP="009C416B">
            <w:pPr>
              <w:rPr>
                <w:b/>
                <w:bCs/>
                <w:sz w:val="18"/>
                <w:szCs w:val="18"/>
              </w:rPr>
            </w:pPr>
            <w:r>
              <w:rPr>
                <w:b/>
                <w:bCs/>
                <w:sz w:val="18"/>
                <w:szCs w:val="18"/>
              </w:rPr>
              <w:t>IP owner – responsible</w:t>
            </w:r>
          </w:p>
        </w:tc>
      </w:tr>
      <w:tr w:rsidR="003D4516" w14:paraId="4F81911D" w14:textId="77777777" w:rsidTr="009C416B">
        <w:trPr>
          <w:trHeight w:val="636"/>
        </w:trPr>
        <w:tc>
          <w:tcPr>
            <w:tcW w:w="1053" w:type="dxa"/>
            <w:gridSpan w:val="2"/>
            <w:tcBorders>
              <w:top w:val="single" w:sz="4" w:space="0" w:color="auto"/>
              <w:left w:val="single" w:sz="4" w:space="0" w:color="auto"/>
              <w:bottom w:val="single" w:sz="4" w:space="0" w:color="auto"/>
              <w:right w:val="single" w:sz="4" w:space="0" w:color="auto"/>
            </w:tcBorders>
          </w:tcPr>
          <w:p w14:paraId="2F2CA919" w14:textId="77777777" w:rsidR="003D4516" w:rsidRDefault="003D4516" w:rsidP="009C416B">
            <w:pPr>
              <w:rPr>
                <w:sz w:val="18"/>
                <w:szCs w:val="18"/>
              </w:rPr>
            </w:pPr>
          </w:p>
        </w:tc>
        <w:tc>
          <w:tcPr>
            <w:tcW w:w="4559" w:type="dxa"/>
            <w:gridSpan w:val="7"/>
            <w:tcBorders>
              <w:top w:val="single" w:sz="4" w:space="0" w:color="auto"/>
              <w:left w:val="single" w:sz="4" w:space="0" w:color="auto"/>
              <w:bottom w:val="single" w:sz="4" w:space="0" w:color="auto"/>
              <w:right w:val="single" w:sz="4" w:space="0" w:color="auto"/>
            </w:tcBorders>
          </w:tcPr>
          <w:p w14:paraId="5F5FED83" w14:textId="77777777" w:rsidR="003D4516" w:rsidRDefault="003D4516" w:rsidP="009C416B">
            <w:pPr>
              <w:autoSpaceDE w:val="0"/>
              <w:autoSpaceDN w:val="0"/>
              <w:adjustRightInd w:val="0"/>
              <w:rPr>
                <w:sz w:val="18"/>
                <w:szCs w:val="18"/>
                <w:lang w:val="en-GB"/>
              </w:rPr>
            </w:pPr>
          </w:p>
        </w:tc>
        <w:tc>
          <w:tcPr>
            <w:tcW w:w="4589" w:type="dxa"/>
            <w:gridSpan w:val="6"/>
            <w:tcBorders>
              <w:top w:val="single" w:sz="4" w:space="0" w:color="auto"/>
              <w:left w:val="single" w:sz="4" w:space="0" w:color="auto"/>
              <w:bottom w:val="single" w:sz="4" w:space="0" w:color="auto"/>
              <w:right w:val="single" w:sz="4" w:space="0" w:color="auto"/>
            </w:tcBorders>
          </w:tcPr>
          <w:p w14:paraId="7E2794BA" w14:textId="77777777" w:rsidR="003D4516" w:rsidRDefault="003D4516" w:rsidP="009C416B">
            <w:pPr>
              <w:rPr>
                <w:sz w:val="18"/>
                <w:szCs w:val="18"/>
                <w:lang w:val="en-GB"/>
              </w:rPr>
            </w:pPr>
          </w:p>
        </w:tc>
      </w:tr>
      <w:tr w:rsidR="003D4516" w14:paraId="31F6D2E0" w14:textId="77777777" w:rsidTr="009C416B">
        <w:trPr>
          <w:trHeight w:val="416"/>
        </w:trPr>
        <w:tc>
          <w:tcPr>
            <w:tcW w:w="1053" w:type="dxa"/>
            <w:gridSpan w:val="2"/>
            <w:tcBorders>
              <w:top w:val="single" w:sz="4" w:space="0" w:color="auto"/>
              <w:left w:val="single" w:sz="4" w:space="0" w:color="auto"/>
              <w:bottom w:val="single" w:sz="4" w:space="0" w:color="auto"/>
              <w:right w:val="single" w:sz="4" w:space="0" w:color="auto"/>
            </w:tcBorders>
          </w:tcPr>
          <w:p w14:paraId="38A8F4F4" w14:textId="77777777" w:rsidR="003D4516" w:rsidRDefault="003D4516" w:rsidP="009C416B">
            <w:pPr>
              <w:rPr>
                <w:sz w:val="18"/>
                <w:szCs w:val="18"/>
                <w:lang w:val="en-GB"/>
              </w:rPr>
            </w:pPr>
          </w:p>
        </w:tc>
        <w:tc>
          <w:tcPr>
            <w:tcW w:w="4559" w:type="dxa"/>
            <w:gridSpan w:val="7"/>
            <w:tcBorders>
              <w:top w:val="single" w:sz="4" w:space="0" w:color="auto"/>
              <w:left w:val="single" w:sz="4" w:space="0" w:color="auto"/>
              <w:bottom w:val="single" w:sz="4" w:space="0" w:color="auto"/>
              <w:right w:val="single" w:sz="4" w:space="0" w:color="auto"/>
            </w:tcBorders>
          </w:tcPr>
          <w:p w14:paraId="44CA124D" w14:textId="77777777" w:rsidR="003D4516" w:rsidRDefault="003D4516" w:rsidP="009C416B">
            <w:pPr>
              <w:rPr>
                <w:sz w:val="18"/>
                <w:szCs w:val="18"/>
                <w:lang w:val="en-GB"/>
              </w:rPr>
            </w:pPr>
          </w:p>
        </w:tc>
        <w:tc>
          <w:tcPr>
            <w:tcW w:w="4589" w:type="dxa"/>
            <w:gridSpan w:val="6"/>
            <w:tcBorders>
              <w:top w:val="single" w:sz="4" w:space="0" w:color="auto"/>
              <w:left w:val="single" w:sz="4" w:space="0" w:color="auto"/>
              <w:bottom w:val="single" w:sz="4" w:space="0" w:color="auto"/>
              <w:right w:val="single" w:sz="4" w:space="0" w:color="auto"/>
            </w:tcBorders>
          </w:tcPr>
          <w:p w14:paraId="172CEFC3" w14:textId="77777777" w:rsidR="003D4516" w:rsidRDefault="003D4516" w:rsidP="009C416B">
            <w:pPr>
              <w:rPr>
                <w:sz w:val="18"/>
                <w:szCs w:val="18"/>
                <w:lang w:val="en-GB"/>
              </w:rPr>
            </w:pPr>
          </w:p>
        </w:tc>
      </w:tr>
      <w:tr w:rsidR="003D4516" w14:paraId="7C0885EE" w14:textId="77777777" w:rsidTr="009C416B">
        <w:trPr>
          <w:trHeight w:val="219"/>
        </w:trPr>
        <w:tc>
          <w:tcPr>
            <w:tcW w:w="10201" w:type="dxa"/>
            <w:gridSpan w:val="15"/>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5049657" w14:textId="77777777" w:rsidR="003D4516" w:rsidRDefault="003D4516" w:rsidP="009C416B">
            <w:pPr>
              <w:rPr>
                <w:b/>
                <w:bCs/>
                <w:sz w:val="18"/>
                <w:szCs w:val="18"/>
                <w:lang w:val="en-GB"/>
              </w:rPr>
            </w:pPr>
            <w:r>
              <w:rPr>
                <w:b/>
                <w:bCs/>
                <w:sz w:val="18"/>
                <w:szCs w:val="18"/>
                <w:lang w:val="en-GB"/>
              </w:rPr>
              <w:t xml:space="preserve">Revenue Sharing Mechanism </w:t>
            </w:r>
          </w:p>
        </w:tc>
      </w:tr>
      <w:tr w:rsidR="003D4516" w14:paraId="3D9DA585" w14:textId="77777777" w:rsidTr="009C416B">
        <w:trPr>
          <w:trHeight w:val="262"/>
        </w:trPr>
        <w:tc>
          <w:tcPr>
            <w:tcW w:w="1053" w:type="dxa"/>
            <w:gridSpan w:val="2"/>
            <w:tcBorders>
              <w:top w:val="single" w:sz="4" w:space="0" w:color="auto"/>
              <w:left w:val="single" w:sz="4" w:space="0" w:color="auto"/>
              <w:bottom w:val="single" w:sz="4" w:space="0" w:color="auto"/>
              <w:right w:val="single" w:sz="4" w:space="0" w:color="auto"/>
            </w:tcBorders>
            <w:hideMark/>
          </w:tcPr>
          <w:p w14:paraId="6E07051A" w14:textId="77777777" w:rsidR="003D4516" w:rsidRDefault="003D4516" w:rsidP="009C416B">
            <w:pPr>
              <w:rPr>
                <w:sz w:val="18"/>
                <w:szCs w:val="18"/>
                <w:lang w:val="en-GB"/>
              </w:rPr>
            </w:pPr>
            <w:r>
              <w:rPr>
                <w:sz w:val="18"/>
                <w:szCs w:val="18"/>
                <w:lang w:val="en-GB"/>
              </w:rPr>
              <w:t>Type</w:t>
            </w:r>
          </w:p>
        </w:tc>
        <w:tc>
          <w:tcPr>
            <w:tcW w:w="9148" w:type="dxa"/>
            <w:gridSpan w:val="13"/>
            <w:tcBorders>
              <w:top w:val="single" w:sz="4" w:space="0" w:color="auto"/>
              <w:left w:val="single" w:sz="4" w:space="0" w:color="auto"/>
              <w:bottom w:val="single" w:sz="4" w:space="0" w:color="auto"/>
              <w:right w:val="single" w:sz="4" w:space="0" w:color="auto"/>
            </w:tcBorders>
            <w:hideMark/>
          </w:tcPr>
          <w:p w14:paraId="1E5BAA36" w14:textId="77777777" w:rsidR="003D4516" w:rsidRDefault="003D4516" w:rsidP="009C416B">
            <w:pPr>
              <w:rPr>
                <w:rFonts w:cs="Calibri"/>
                <w:color w:val="000000"/>
                <w:sz w:val="18"/>
                <w:szCs w:val="18"/>
                <w:lang w:val="en-GB"/>
              </w:rPr>
            </w:pPr>
            <w:r>
              <w:rPr>
                <w:rFonts w:cs="Calibri"/>
                <w:color w:val="000000"/>
                <w:sz w:val="18"/>
                <w:szCs w:val="18"/>
                <w:lang w:val="en-GB"/>
              </w:rPr>
              <w:t xml:space="preserve">Example. Revenue sharing related to the exploitation of the KERs </w:t>
            </w:r>
          </w:p>
        </w:tc>
      </w:tr>
      <w:tr w:rsidR="003D4516" w14:paraId="4C5E67B9" w14:textId="77777777" w:rsidTr="009C416B">
        <w:trPr>
          <w:trHeight w:val="440"/>
        </w:trPr>
        <w:tc>
          <w:tcPr>
            <w:tcW w:w="1053" w:type="dxa"/>
            <w:gridSpan w:val="2"/>
            <w:tcBorders>
              <w:top w:val="single" w:sz="4" w:space="0" w:color="auto"/>
              <w:left w:val="single" w:sz="4" w:space="0" w:color="auto"/>
              <w:bottom w:val="single" w:sz="4" w:space="0" w:color="auto"/>
              <w:right w:val="single" w:sz="4" w:space="0" w:color="auto"/>
            </w:tcBorders>
            <w:hideMark/>
          </w:tcPr>
          <w:p w14:paraId="63E3B93A" w14:textId="77777777" w:rsidR="003D4516" w:rsidRDefault="003D4516" w:rsidP="009C416B">
            <w:pPr>
              <w:rPr>
                <w:sz w:val="18"/>
                <w:szCs w:val="18"/>
                <w:lang w:val="en-GB"/>
              </w:rPr>
            </w:pPr>
            <w:r>
              <w:rPr>
                <w:sz w:val="18"/>
                <w:szCs w:val="18"/>
                <w:lang w:val="en-GB"/>
              </w:rPr>
              <w:t xml:space="preserve">Calculation base for the FRM </w:t>
            </w:r>
          </w:p>
        </w:tc>
        <w:tc>
          <w:tcPr>
            <w:tcW w:w="9148" w:type="dxa"/>
            <w:gridSpan w:val="13"/>
            <w:tcBorders>
              <w:top w:val="single" w:sz="4" w:space="0" w:color="auto"/>
              <w:left w:val="single" w:sz="4" w:space="0" w:color="auto"/>
              <w:bottom w:val="single" w:sz="4" w:space="0" w:color="auto"/>
              <w:right w:val="single" w:sz="4" w:space="0" w:color="auto"/>
            </w:tcBorders>
          </w:tcPr>
          <w:p w14:paraId="3245E513" w14:textId="77777777" w:rsidR="003D4516" w:rsidRDefault="003D4516" w:rsidP="009C416B">
            <w:pPr>
              <w:rPr>
                <w:rFonts w:cs="Calibri"/>
                <w:color w:val="000000"/>
                <w:sz w:val="18"/>
                <w:szCs w:val="18"/>
                <w:lang w:val="en-GB"/>
              </w:rPr>
            </w:pPr>
            <w:r>
              <w:rPr>
                <w:rFonts w:cs="Calibri"/>
                <w:color w:val="000000"/>
                <w:sz w:val="18"/>
                <w:szCs w:val="18"/>
                <w:lang w:val="en-GB"/>
              </w:rPr>
              <w:t xml:space="preserve">Example. A % over the annual revenues from the sales of the KERs Revenue sharing with EIT Food occurs until a defined cap is realised.  </w:t>
            </w:r>
          </w:p>
          <w:p w14:paraId="3E71DF2C" w14:textId="77777777" w:rsidR="003D4516" w:rsidRDefault="003D4516" w:rsidP="009C416B">
            <w:pPr>
              <w:rPr>
                <w:rFonts w:cs="Calibri"/>
                <w:color w:val="000000"/>
                <w:sz w:val="18"/>
                <w:szCs w:val="18"/>
                <w:lang w:val="en-GB"/>
              </w:rPr>
            </w:pPr>
          </w:p>
          <w:p w14:paraId="318B6996" w14:textId="77777777" w:rsidR="003D4516" w:rsidRDefault="003D4516" w:rsidP="009C416B">
            <w:pPr>
              <w:rPr>
                <w:rFonts w:cs="Calibri"/>
                <w:color w:val="000000"/>
                <w:sz w:val="18"/>
                <w:szCs w:val="18"/>
                <w:lang w:val="en-GB"/>
              </w:rPr>
            </w:pPr>
          </w:p>
        </w:tc>
      </w:tr>
      <w:tr w:rsidR="003D4516" w14:paraId="3E7C27F4" w14:textId="77777777" w:rsidTr="009C416B">
        <w:trPr>
          <w:trHeight w:val="341"/>
        </w:trPr>
        <w:tc>
          <w:tcPr>
            <w:tcW w:w="1053" w:type="dxa"/>
            <w:gridSpan w:val="2"/>
            <w:tcBorders>
              <w:top w:val="single" w:sz="4" w:space="0" w:color="auto"/>
              <w:left w:val="single" w:sz="4" w:space="0" w:color="auto"/>
              <w:bottom w:val="single" w:sz="4" w:space="0" w:color="auto"/>
              <w:right w:val="single" w:sz="4" w:space="0" w:color="auto"/>
            </w:tcBorders>
            <w:hideMark/>
          </w:tcPr>
          <w:p w14:paraId="5CBE01F1" w14:textId="77777777" w:rsidR="003D4516" w:rsidRDefault="003D4516" w:rsidP="009C416B">
            <w:pPr>
              <w:rPr>
                <w:sz w:val="18"/>
                <w:szCs w:val="18"/>
                <w:lang w:val="en-GB"/>
              </w:rPr>
            </w:pPr>
            <w:proofErr w:type="gramStart"/>
            <w:r>
              <w:rPr>
                <w:sz w:val="18"/>
                <w:szCs w:val="18"/>
                <w:lang w:val="en-GB"/>
              </w:rPr>
              <w:t>Description  of</w:t>
            </w:r>
            <w:proofErr w:type="gramEnd"/>
            <w:r>
              <w:rPr>
                <w:sz w:val="18"/>
                <w:szCs w:val="18"/>
                <w:lang w:val="en-GB"/>
              </w:rPr>
              <w:t xml:space="preserve"> the Self Developed FRM</w:t>
            </w:r>
          </w:p>
        </w:tc>
        <w:tc>
          <w:tcPr>
            <w:tcW w:w="9148" w:type="dxa"/>
            <w:gridSpan w:val="13"/>
            <w:tcBorders>
              <w:top w:val="single" w:sz="4" w:space="0" w:color="auto"/>
              <w:left w:val="single" w:sz="4" w:space="0" w:color="auto"/>
              <w:bottom w:val="single" w:sz="4" w:space="0" w:color="auto"/>
              <w:right w:val="single" w:sz="4" w:space="0" w:color="auto"/>
            </w:tcBorders>
          </w:tcPr>
          <w:p w14:paraId="005D5D4F" w14:textId="77777777" w:rsidR="003D4516" w:rsidRDefault="003D4516" w:rsidP="009C416B">
            <w:pPr>
              <w:rPr>
                <w:rFonts w:cs="Calibri"/>
                <w:color w:val="000000"/>
                <w:sz w:val="18"/>
                <w:szCs w:val="18"/>
                <w:lang w:val="en-GB"/>
              </w:rPr>
            </w:pPr>
          </w:p>
          <w:p w14:paraId="18D1629D" w14:textId="77777777" w:rsidR="003D4516" w:rsidRDefault="003D4516" w:rsidP="009C416B">
            <w:pPr>
              <w:rPr>
                <w:rFonts w:cs="Calibri"/>
                <w:color w:val="000000"/>
                <w:sz w:val="18"/>
                <w:szCs w:val="18"/>
                <w:lang w:val="en-GB"/>
              </w:rPr>
            </w:pPr>
            <w:r>
              <w:rPr>
                <w:rFonts w:cs="Calibri"/>
                <w:color w:val="000000"/>
                <w:sz w:val="18"/>
                <w:szCs w:val="18"/>
                <w:lang w:val="en-GB"/>
              </w:rPr>
              <w:t>KER #</w:t>
            </w:r>
            <w:r>
              <w:rPr>
                <w:rFonts w:cs="Calibri"/>
                <w:color w:val="000000"/>
                <w:sz w:val="18"/>
                <w:szCs w:val="18"/>
                <w:lang w:val="en-GB"/>
              </w:rPr>
              <w:tab/>
              <w:t xml:space="preserve">% </w:t>
            </w:r>
            <w:r>
              <w:rPr>
                <w:rFonts w:cs="Calibri"/>
                <w:color w:val="000000"/>
                <w:sz w:val="18"/>
                <w:szCs w:val="18"/>
                <w:lang w:val="en-GB"/>
              </w:rPr>
              <w:tab/>
              <w:t xml:space="preserve">Start year End year </w:t>
            </w:r>
          </w:p>
          <w:p w14:paraId="33C0DC62" w14:textId="77777777" w:rsidR="003D4516" w:rsidRDefault="003D4516" w:rsidP="009C416B">
            <w:pPr>
              <w:rPr>
                <w:rFonts w:cs="Calibri"/>
                <w:color w:val="000000"/>
                <w:sz w:val="18"/>
                <w:szCs w:val="18"/>
                <w:lang w:val="en-GB"/>
              </w:rPr>
            </w:pPr>
            <w:r>
              <w:rPr>
                <w:rFonts w:cs="Calibri"/>
                <w:color w:val="000000"/>
                <w:sz w:val="18"/>
                <w:szCs w:val="18"/>
                <w:lang w:val="en-GB"/>
              </w:rPr>
              <w:t>1</w:t>
            </w:r>
            <w:r>
              <w:rPr>
                <w:rFonts w:cs="Calibri"/>
                <w:color w:val="000000"/>
                <w:sz w:val="18"/>
                <w:szCs w:val="18"/>
                <w:lang w:val="en-GB"/>
              </w:rPr>
              <w:tab/>
              <w:t>X%</w:t>
            </w:r>
            <w:r>
              <w:rPr>
                <w:rFonts w:cs="Calibri"/>
                <w:color w:val="000000"/>
                <w:sz w:val="18"/>
                <w:szCs w:val="18"/>
                <w:lang w:val="en-GB"/>
              </w:rPr>
              <w:tab/>
            </w:r>
            <w:proofErr w:type="gramStart"/>
            <w:r>
              <w:rPr>
                <w:rFonts w:cs="Calibri"/>
                <w:color w:val="000000"/>
                <w:sz w:val="18"/>
                <w:szCs w:val="18"/>
                <w:lang w:val="en-GB"/>
              </w:rPr>
              <w:t>20..</w:t>
            </w:r>
            <w:proofErr w:type="gramEnd"/>
            <w:r>
              <w:rPr>
                <w:rFonts w:cs="Calibri"/>
                <w:color w:val="000000"/>
                <w:sz w:val="18"/>
                <w:szCs w:val="18"/>
                <w:lang w:val="en-GB"/>
              </w:rPr>
              <w:tab/>
              <w:t>20..</w:t>
            </w:r>
          </w:p>
          <w:p w14:paraId="08D3580E" w14:textId="77777777" w:rsidR="003D4516" w:rsidRDefault="003D4516" w:rsidP="009C416B">
            <w:pPr>
              <w:rPr>
                <w:rFonts w:cs="Calibri"/>
                <w:color w:val="000000"/>
                <w:sz w:val="18"/>
                <w:szCs w:val="18"/>
                <w:lang w:val="en-GB"/>
              </w:rPr>
            </w:pPr>
            <w:r>
              <w:rPr>
                <w:rFonts w:cs="Calibri"/>
                <w:color w:val="000000"/>
                <w:sz w:val="18"/>
                <w:szCs w:val="18"/>
                <w:lang w:val="en-GB"/>
              </w:rPr>
              <w:t>2</w:t>
            </w:r>
            <w:r>
              <w:rPr>
                <w:rFonts w:cs="Calibri"/>
                <w:color w:val="000000"/>
                <w:sz w:val="18"/>
                <w:szCs w:val="18"/>
                <w:lang w:val="en-GB"/>
              </w:rPr>
              <w:tab/>
              <w:t>X%</w:t>
            </w:r>
            <w:r>
              <w:rPr>
                <w:rFonts w:cs="Calibri"/>
                <w:color w:val="000000"/>
                <w:sz w:val="18"/>
                <w:szCs w:val="18"/>
                <w:lang w:val="en-GB"/>
              </w:rPr>
              <w:tab/>
            </w:r>
            <w:proofErr w:type="gramStart"/>
            <w:r>
              <w:rPr>
                <w:rFonts w:cs="Calibri"/>
                <w:color w:val="000000"/>
                <w:sz w:val="18"/>
                <w:szCs w:val="18"/>
                <w:lang w:val="en-GB"/>
              </w:rPr>
              <w:t>20..</w:t>
            </w:r>
            <w:proofErr w:type="gramEnd"/>
            <w:r>
              <w:rPr>
                <w:rFonts w:cs="Calibri"/>
                <w:color w:val="000000"/>
                <w:sz w:val="18"/>
                <w:szCs w:val="18"/>
                <w:lang w:val="en-GB"/>
              </w:rPr>
              <w:tab/>
              <w:t>20..</w:t>
            </w:r>
          </w:p>
          <w:p w14:paraId="2EE5BC79" w14:textId="77777777" w:rsidR="003D4516" w:rsidRDefault="003D4516" w:rsidP="009C416B">
            <w:pPr>
              <w:rPr>
                <w:rFonts w:cs="Calibri"/>
                <w:color w:val="000000"/>
                <w:sz w:val="18"/>
                <w:szCs w:val="18"/>
                <w:lang w:val="en-GB"/>
              </w:rPr>
            </w:pPr>
          </w:p>
        </w:tc>
      </w:tr>
      <w:tr w:rsidR="003D4516" w14:paraId="20B8BC84" w14:textId="77777777" w:rsidTr="009C416B">
        <w:trPr>
          <w:trHeight w:val="341"/>
        </w:trPr>
        <w:tc>
          <w:tcPr>
            <w:tcW w:w="10201" w:type="dxa"/>
            <w:gridSpan w:val="15"/>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C1585BF" w14:textId="77777777" w:rsidR="003D4516" w:rsidRDefault="003D4516" w:rsidP="009C416B">
            <w:pPr>
              <w:rPr>
                <w:rFonts w:cs="Calibri"/>
                <w:b/>
                <w:bCs/>
                <w:color w:val="000000"/>
                <w:sz w:val="18"/>
                <w:szCs w:val="18"/>
                <w:lang w:val="en-GB"/>
              </w:rPr>
            </w:pPr>
            <w:r>
              <w:rPr>
                <w:rFonts w:cs="Calibri"/>
                <w:b/>
                <w:bCs/>
                <w:color w:val="000000"/>
                <w:sz w:val="18"/>
                <w:szCs w:val="18"/>
                <w:lang w:val="en-GB"/>
              </w:rPr>
              <w:t>Monitoring and payment schedule in case of Revenue Sharing</w:t>
            </w:r>
          </w:p>
        </w:tc>
      </w:tr>
      <w:tr w:rsidR="003D4516" w14:paraId="55F4E115" w14:textId="77777777" w:rsidTr="009C416B">
        <w:trPr>
          <w:trHeight w:val="125"/>
        </w:trPr>
        <w:tc>
          <w:tcPr>
            <w:tcW w:w="1271"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A24DC68" w14:textId="77777777" w:rsidR="003D4516" w:rsidRDefault="003D4516" w:rsidP="009C416B">
            <w:pPr>
              <w:rPr>
                <w:rFonts w:cs="Calibri"/>
                <w:b/>
                <w:bCs/>
                <w:color w:val="000000"/>
                <w:sz w:val="18"/>
                <w:szCs w:val="18"/>
                <w:lang w:val="en-GB"/>
              </w:rPr>
            </w:pPr>
            <w:bookmarkStart w:id="11" w:name="_Hlk53736611"/>
            <w:bookmarkStart w:id="12" w:name="_Hlk53562398"/>
            <w:bookmarkStart w:id="13" w:name="_Hlk53562364"/>
            <w:r>
              <w:rPr>
                <w:rFonts w:cs="Calibri"/>
                <w:b/>
                <w:bCs/>
                <w:color w:val="000000"/>
                <w:sz w:val="18"/>
                <w:szCs w:val="18"/>
                <w:lang w:val="en-GB"/>
              </w:rPr>
              <w:t xml:space="preserve">Projected revenues </w:t>
            </w:r>
          </w:p>
          <w:p w14:paraId="2328746C" w14:textId="77777777" w:rsidR="003D4516" w:rsidRDefault="003D4516" w:rsidP="009C416B">
            <w:pPr>
              <w:rPr>
                <w:rFonts w:cs="Calibri"/>
                <w:b/>
                <w:bCs/>
                <w:color w:val="000000"/>
                <w:sz w:val="18"/>
                <w:szCs w:val="18"/>
                <w:lang w:val="en-GB"/>
              </w:rPr>
            </w:pPr>
            <w:r>
              <w:rPr>
                <w:rFonts w:cs="Calibri"/>
                <w:b/>
                <w:bCs/>
                <w:color w:val="000000"/>
                <w:sz w:val="18"/>
                <w:szCs w:val="18"/>
                <w:lang w:val="en-GB"/>
              </w:rPr>
              <w:t>(in €) KER #1</w:t>
            </w:r>
          </w:p>
        </w:tc>
        <w:tc>
          <w:tcPr>
            <w:tcW w:w="992" w:type="dxa"/>
            <w:tcBorders>
              <w:top w:val="single" w:sz="4" w:space="0" w:color="auto"/>
              <w:left w:val="single" w:sz="4" w:space="0" w:color="auto"/>
              <w:bottom w:val="single" w:sz="4" w:space="0" w:color="auto"/>
              <w:right w:val="single" w:sz="4" w:space="0" w:color="auto"/>
            </w:tcBorders>
            <w:hideMark/>
          </w:tcPr>
          <w:p w14:paraId="620729A0"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2022</w:t>
            </w:r>
          </w:p>
        </w:tc>
        <w:tc>
          <w:tcPr>
            <w:tcW w:w="1134" w:type="dxa"/>
            <w:tcBorders>
              <w:top w:val="single" w:sz="4" w:space="0" w:color="auto"/>
              <w:left w:val="single" w:sz="4" w:space="0" w:color="auto"/>
              <w:bottom w:val="single" w:sz="4" w:space="0" w:color="auto"/>
              <w:right w:val="single" w:sz="4" w:space="0" w:color="auto"/>
            </w:tcBorders>
            <w:hideMark/>
          </w:tcPr>
          <w:p w14:paraId="47D4C986"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14:paraId="4943F0D2"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2024</w:t>
            </w:r>
          </w:p>
        </w:tc>
        <w:tc>
          <w:tcPr>
            <w:tcW w:w="1081" w:type="dxa"/>
            <w:gridSpan w:val="2"/>
            <w:tcBorders>
              <w:top w:val="single" w:sz="4" w:space="0" w:color="auto"/>
              <w:left w:val="single" w:sz="4" w:space="0" w:color="auto"/>
              <w:bottom w:val="single" w:sz="4" w:space="0" w:color="auto"/>
              <w:right w:val="single" w:sz="4" w:space="0" w:color="auto"/>
            </w:tcBorders>
            <w:hideMark/>
          </w:tcPr>
          <w:p w14:paraId="4E7A8BA5"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2025</w:t>
            </w:r>
          </w:p>
        </w:tc>
        <w:tc>
          <w:tcPr>
            <w:tcW w:w="1088" w:type="dxa"/>
            <w:tcBorders>
              <w:top w:val="single" w:sz="4" w:space="0" w:color="auto"/>
              <w:left w:val="single" w:sz="4" w:space="0" w:color="auto"/>
              <w:bottom w:val="single" w:sz="4" w:space="0" w:color="auto"/>
              <w:right w:val="single" w:sz="4" w:space="0" w:color="auto"/>
            </w:tcBorders>
            <w:hideMark/>
          </w:tcPr>
          <w:p w14:paraId="4E4C0D3C"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2026</w:t>
            </w:r>
          </w:p>
        </w:tc>
        <w:tc>
          <w:tcPr>
            <w:tcW w:w="887" w:type="dxa"/>
            <w:gridSpan w:val="2"/>
            <w:tcBorders>
              <w:top w:val="single" w:sz="4" w:space="0" w:color="auto"/>
              <w:left w:val="single" w:sz="4" w:space="0" w:color="auto"/>
              <w:bottom w:val="single" w:sz="4" w:space="0" w:color="auto"/>
              <w:right w:val="single" w:sz="4" w:space="0" w:color="auto"/>
            </w:tcBorders>
            <w:hideMark/>
          </w:tcPr>
          <w:p w14:paraId="56A49DE6"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2027</w:t>
            </w:r>
          </w:p>
        </w:tc>
        <w:tc>
          <w:tcPr>
            <w:tcW w:w="972" w:type="dxa"/>
            <w:tcBorders>
              <w:top w:val="single" w:sz="4" w:space="0" w:color="auto"/>
              <w:left w:val="single" w:sz="4" w:space="0" w:color="auto"/>
              <w:bottom w:val="single" w:sz="4" w:space="0" w:color="auto"/>
              <w:right w:val="single" w:sz="4" w:space="0" w:color="auto"/>
            </w:tcBorders>
            <w:hideMark/>
          </w:tcPr>
          <w:p w14:paraId="044A5800"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2028</w:t>
            </w:r>
          </w:p>
        </w:tc>
        <w:tc>
          <w:tcPr>
            <w:tcW w:w="1265" w:type="dxa"/>
            <w:tcBorders>
              <w:top w:val="single" w:sz="4" w:space="0" w:color="auto"/>
              <w:left w:val="single" w:sz="4" w:space="0" w:color="auto"/>
              <w:bottom w:val="single" w:sz="4" w:space="0" w:color="auto"/>
              <w:right w:val="single" w:sz="4" w:space="0" w:color="auto"/>
            </w:tcBorders>
            <w:hideMark/>
          </w:tcPr>
          <w:p w14:paraId="331EAA81"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beyond</w:t>
            </w:r>
          </w:p>
        </w:tc>
        <w:tc>
          <w:tcPr>
            <w:tcW w:w="377" w:type="dxa"/>
            <w:tcBorders>
              <w:top w:val="single" w:sz="4" w:space="0" w:color="auto"/>
              <w:left w:val="single" w:sz="4" w:space="0" w:color="auto"/>
              <w:bottom w:val="single" w:sz="4" w:space="0" w:color="auto"/>
              <w:right w:val="single" w:sz="4" w:space="0" w:color="auto"/>
            </w:tcBorders>
          </w:tcPr>
          <w:p w14:paraId="3A7FDAAD" w14:textId="77777777" w:rsidR="003D4516" w:rsidRDefault="003D4516" w:rsidP="009C416B">
            <w:pPr>
              <w:jc w:val="center"/>
              <w:rPr>
                <w:rFonts w:cs="Calibri"/>
                <w:b/>
                <w:bCs/>
                <w:color w:val="000000"/>
                <w:sz w:val="18"/>
                <w:szCs w:val="18"/>
                <w:lang w:val="en-GB"/>
              </w:rPr>
            </w:pPr>
          </w:p>
        </w:tc>
        <w:bookmarkEnd w:id="11"/>
        <w:bookmarkEnd w:id="12"/>
        <w:bookmarkEnd w:id="13"/>
      </w:tr>
      <w:tr w:rsidR="003D4516" w14:paraId="623B95A4" w14:textId="77777777" w:rsidTr="009C416B">
        <w:trPr>
          <w:trHeight w:val="341"/>
        </w:trPr>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14:paraId="2E6BD259" w14:textId="77777777" w:rsidR="003D4516" w:rsidRDefault="003D4516" w:rsidP="009C416B">
            <w:pPr>
              <w:rPr>
                <w:rFonts w:cs="Calibri"/>
                <w:b/>
                <w:bCs/>
                <w:color w:val="000000"/>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79717380" w14:textId="77777777" w:rsidR="003D4516" w:rsidRDefault="003D4516" w:rsidP="009C416B">
            <w:pPr>
              <w:rPr>
                <w:rFonts w:cs="Calibri"/>
                <w:color w:val="000000"/>
                <w:sz w:val="20"/>
                <w:szCs w:val="20"/>
                <w:lang w:val="en-GB"/>
              </w:rPr>
            </w:pPr>
          </w:p>
        </w:tc>
        <w:tc>
          <w:tcPr>
            <w:tcW w:w="1134" w:type="dxa"/>
            <w:tcBorders>
              <w:top w:val="nil"/>
              <w:left w:val="nil"/>
              <w:bottom w:val="single" w:sz="8" w:space="0" w:color="auto"/>
              <w:right w:val="single" w:sz="8" w:space="0" w:color="auto"/>
            </w:tcBorders>
            <w:vAlign w:val="center"/>
          </w:tcPr>
          <w:p w14:paraId="1068E72B" w14:textId="77777777" w:rsidR="003D4516" w:rsidRDefault="003D4516" w:rsidP="009C416B">
            <w:pPr>
              <w:jc w:val="center"/>
              <w:rPr>
                <w:rFonts w:cs="Calibri"/>
                <w:sz w:val="18"/>
                <w:szCs w:val="18"/>
                <w:lang w:val="en-GB"/>
              </w:rPr>
            </w:pPr>
          </w:p>
        </w:tc>
        <w:tc>
          <w:tcPr>
            <w:tcW w:w="1134" w:type="dxa"/>
            <w:gridSpan w:val="2"/>
            <w:tcBorders>
              <w:top w:val="nil"/>
              <w:left w:val="nil"/>
              <w:bottom w:val="single" w:sz="8" w:space="0" w:color="auto"/>
              <w:right w:val="single" w:sz="8" w:space="0" w:color="auto"/>
            </w:tcBorders>
            <w:vAlign w:val="center"/>
          </w:tcPr>
          <w:p w14:paraId="2379253B" w14:textId="77777777" w:rsidR="003D4516" w:rsidRDefault="003D4516" w:rsidP="009C416B">
            <w:pPr>
              <w:jc w:val="center"/>
              <w:rPr>
                <w:rFonts w:cs="Calibri"/>
                <w:sz w:val="18"/>
                <w:szCs w:val="18"/>
                <w:lang w:val="en-GB"/>
              </w:rPr>
            </w:pPr>
          </w:p>
        </w:tc>
        <w:tc>
          <w:tcPr>
            <w:tcW w:w="1081" w:type="dxa"/>
            <w:gridSpan w:val="2"/>
            <w:tcBorders>
              <w:top w:val="nil"/>
              <w:left w:val="nil"/>
              <w:bottom w:val="single" w:sz="8" w:space="0" w:color="auto"/>
              <w:right w:val="single" w:sz="8" w:space="0" w:color="auto"/>
            </w:tcBorders>
            <w:vAlign w:val="center"/>
          </w:tcPr>
          <w:p w14:paraId="7995FC48" w14:textId="77777777" w:rsidR="003D4516" w:rsidRDefault="003D4516" w:rsidP="009C416B">
            <w:pPr>
              <w:jc w:val="center"/>
              <w:rPr>
                <w:rFonts w:cs="Calibri"/>
                <w:sz w:val="18"/>
                <w:szCs w:val="18"/>
                <w:lang w:val="en-GB"/>
              </w:rPr>
            </w:pPr>
          </w:p>
        </w:tc>
        <w:tc>
          <w:tcPr>
            <w:tcW w:w="1088" w:type="dxa"/>
            <w:tcBorders>
              <w:top w:val="nil"/>
              <w:left w:val="nil"/>
              <w:bottom w:val="single" w:sz="8" w:space="0" w:color="auto"/>
              <w:right w:val="single" w:sz="8" w:space="0" w:color="auto"/>
            </w:tcBorders>
            <w:vAlign w:val="center"/>
          </w:tcPr>
          <w:p w14:paraId="09FC4AAC" w14:textId="77777777" w:rsidR="003D4516" w:rsidRDefault="003D4516" w:rsidP="009C416B">
            <w:pPr>
              <w:jc w:val="center"/>
              <w:rPr>
                <w:rFonts w:cs="Calibri"/>
                <w:sz w:val="18"/>
                <w:szCs w:val="18"/>
                <w:lang w:val="en-GB"/>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14:paraId="2EC96D58" w14:textId="77777777" w:rsidR="003D4516" w:rsidRDefault="003D4516" w:rsidP="009C416B">
            <w:pPr>
              <w:jc w:val="center"/>
              <w:rPr>
                <w:rFonts w:cs="Calibri"/>
                <w:color w:val="000000"/>
                <w:sz w:val="18"/>
                <w:szCs w:val="18"/>
                <w:lang w:val="en-GB"/>
              </w:rPr>
            </w:pPr>
          </w:p>
        </w:tc>
        <w:tc>
          <w:tcPr>
            <w:tcW w:w="972" w:type="dxa"/>
            <w:tcBorders>
              <w:top w:val="single" w:sz="4" w:space="0" w:color="auto"/>
              <w:left w:val="single" w:sz="4" w:space="0" w:color="auto"/>
              <w:bottom w:val="single" w:sz="4" w:space="0" w:color="auto"/>
              <w:right w:val="single" w:sz="4" w:space="0" w:color="auto"/>
            </w:tcBorders>
            <w:vAlign w:val="center"/>
          </w:tcPr>
          <w:p w14:paraId="0074A00A" w14:textId="77777777" w:rsidR="003D4516" w:rsidRDefault="003D4516" w:rsidP="009C416B">
            <w:pPr>
              <w:jc w:val="center"/>
              <w:rPr>
                <w:rFonts w:cs="Calibri"/>
                <w:color w:val="000000"/>
                <w:sz w:val="18"/>
                <w:szCs w:val="18"/>
                <w:lang w:val="en-GB"/>
              </w:rPr>
            </w:pPr>
          </w:p>
        </w:tc>
        <w:tc>
          <w:tcPr>
            <w:tcW w:w="1265" w:type="dxa"/>
            <w:tcBorders>
              <w:top w:val="single" w:sz="4" w:space="0" w:color="auto"/>
              <w:left w:val="single" w:sz="4" w:space="0" w:color="auto"/>
              <w:bottom w:val="single" w:sz="4" w:space="0" w:color="auto"/>
              <w:right w:val="single" w:sz="4" w:space="0" w:color="auto"/>
            </w:tcBorders>
            <w:vAlign w:val="center"/>
          </w:tcPr>
          <w:p w14:paraId="152C55A9" w14:textId="77777777" w:rsidR="003D4516" w:rsidRDefault="003D4516" w:rsidP="009C416B">
            <w:pPr>
              <w:jc w:val="center"/>
              <w:rPr>
                <w:rFonts w:cs="Calibri"/>
                <w:color w:val="000000"/>
                <w:sz w:val="18"/>
                <w:szCs w:val="18"/>
                <w:lang w:val="en-GB"/>
              </w:rPr>
            </w:pPr>
          </w:p>
        </w:tc>
        <w:tc>
          <w:tcPr>
            <w:tcW w:w="377" w:type="dxa"/>
            <w:tcBorders>
              <w:top w:val="single" w:sz="4" w:space="0" w:color="auto"/>
              <w:left w:val="single" w:sz="4" w:space="0" w:color="auto"/>
              <w:bottom w:val="single" w:sz="4" w:space="0" w:color="auto"/>
              <w:right w:val="single" w:sz="4" w:space="0" w:color="auto"/>
            </w:tcBorders>
          </w:tcPr>
          <w:p w14:paraId="60DEE672" w14:textId="77777777" w:rsidR="003D4516" w:rsidRDefault="003D4516" w:rsidP="009C416B">
            <w:pPr>
              <w:jc w:val="center"/>
              <w:rPr>
                <w:rFonts w:cs="Calibri"/>
                <w:color w:val="000000"/>
                <w:sz w:val="18"/>
                <w:szCs w:val="18"/>
                <w:lang w:val="en-GB"/>
              </w:rPr>
            </w:pPr>
          </w:p>
        </w:tc>
      </w:tr>
      <w:tr w:rsidR="003D4516" w14:paraId="77C76FC2" w14:textId="77777777" w:rsidTr="009C416B">
        <w:trPr>
          <w:trHeight w:val="125"/>
        </w:trPr>
        <w:tc>
          <w:tcPr>
            <w:tcW w:w="1271" w:type="dxa"/>
            <w:gridSpan w:val="3"/>
            <w:vMerge w:val="restart"/>
            <w:tcBorders>
              <w:top w:val="single" w:sz="4" w:space="0" w:color="auto"/>
              <w:left w:val="single" w:sz="4" w:space="0" w:color="auto"/>
              <w:bottom w:val="single" w:sz="4" w:space="0" w:color="auto"/>
              <w:right w:val="single" w:sz="4" w:space="0" w:color="auto"/>
            </w:tcBorders>
            <w:hideMark/>
          </w:tcPr>
          <w:p w14:paraId="22E89E3B" w14:textId="77777777" w:rsidR="003D4516" w:rsidRDefault="003D4516" w:rsidP="009C416B">
            <w:pPr>
              <w:rPr>
                <w:rFonts w:cs="Calibri"/>
                <w:b/>
                <w:bCs/>
                <w:color w:val="000000"/>
                <w:sz w:val="18"/>
                <w:szCs w:val="18"/>
                <w:lang w:val="en-GB"/>
              </w:rPr>
            </w:pPr>
            <w:bookmarkStart w:id="14" w:name="_Hlk53738013"/>
            <w:r>
              <w:rPr>
                <w:rFonts w:cs="Calibri"/>
                <w:b/>
                <w:bCs/>
                <w:color w:val="000000"/>
                <w:sz w:val="18"/>
                <w:szCs w:val="18"/>
                <w:lang w:val="en-GB"/>
              </w:rPr>
              <w:t xml:space="preserve">Projected revenues </w:t>
            </w:r>
          </w:p>
          <w:p w14:paraId="510AF541" w14:textId="77777777" w:rsidR="003D4516" w:rsidRDefault="003D4516" w:rsidP="009C416B">
            <w:pPr>
              <w:rPr>
                <w:rFonts w:cs="Calibri"/>
                <w:b/>
                <w:bCs/>
                <w:color w:val="000000"/>
                <w:sz w:val="18"/>
                <w:szCs w:val="18"/>
                <w:lang w:val="en-GB"/>
              </w:rPr>
            </w:pPr>
            <w:r>
              <w:rPr>
                <w:rFonts w:cs="Calibri"/>
                <w:b/>
                <w:bCs/>
                <w:color w:val="000000"/>
                <w:sz w:val="18"/>
                <w:szCs w:val="18"/>
                <w:lang w:val="en-GB"/>
              </w:rPr>
              <w:t>(in €) KER #2</w:t>
            </w:r>
          </w:p>
        </w:tc>
        <w:tc>
          <w:tcPr>
            <w:tcW w:w="992" w:type="dxa"/>
            <w:tcBorders>
              <w:top w:val="single" w:sz="4" w:space="0" w:color="auto"/>
              <w:left w:val="single" w:sz="4" w:space="0" w:color="auto"/>
              <w:bottom w:val="single" w:sz="4" w:space="0" w:color="auto"/>
              <w:right w:val="single" w:sz="4" w:space="0" w:color="auto"/>
            </w:tcBorders>
            <w:hideMark/>
          </w:tcPr>
          <w:p w14:paraId="2C6FA4D1"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2022</w:t>
            </w:r>
          </w:p>
        </w:tc>
        <w:tc>
          <w:tcPr>
            <w:tcW w:w="1134" w:type="dxa"/>
            <w:tcBorders>
              <w:top w:val="single" w:sz="4" w:space="0" w:color="auto"/>
              <w:left w:val="single" w:sz="4" w:space="0" w:color="auto"/>
              <w:bottom w:val="single" w:sz="4" w:space="0" w:color="auto"/>
              <w:right w:val="single" w:sz="4" w:space="0" w:color="auto"/>
            </w:tcBorders>
            <w:hideMark/>
          </w:tcPr>
          <w:p w14:paraId="5212B679" w14:textId="77777777" w:rsidR="003D4516" w:rsidRDefault="003D4516" w:rsidP="009C416B">
            <w:pPr>
              <w:jc w:val="center"/>
              <w:rPr>
                <w:rFonts w:cs="Calibri"/>
                <w:b/>
                <w:bCs/>
                <w:sz w:val="18"/>
                <w:szCs w:val="18"/>
                <w:lang w:val="en-GB"/>
              </w:rPr>
            </w:pPr>
            <w:r>
              <w:rPr>
                <w:rFonts w:cs="Calibri"/>
                <w:b/>
                <w:bCs/>
                <w:sz w:val="18"/>
                <w:szCs w:val="18"/>
                <w:lang w:val="en-GB"/>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14:paraId="32EF23EA" w14:textId="77777777" w:rsidR="003D4516" w:rsidRDefault="003D4516" w:rsidP="009C416B">
            <w:pPr>
              <w:jc w:val="center"/>
              <w:rPr>
                <w:rFonts w:cs="Calibri"/>
                <w:b/>
                <w:bCs/>
                <w:sz w:val="18"/>
                <w:szCs w:val="18"/>
                <w:lang w:val="en-GB"/>
              </w:rPr>
            </w:pPr>
            <w:r>
              <w:rPr>
                <w:rFonts w:cs="Calibri"/>
                <w:b/>
                <w:bCs/>
                <w:sz w:val="18"/>
                <w:szCs w:val="18"/>
                <w:lang w:val="en-GB"/>
              </w:rPr>
              <w:t>2024</w:t>
            </w:r>
          </w:p>
        </w:tc>
        <w:tc>
          <w:tcPr>
            <w:tcW w:w="1081" w:type="dxa"/>
            <w:gridSpan w:val="2"/>
            <w:tcBorders>
              <w:top w:val="single" w:sz="4" w:space="0" w:color="auto"/>
              <w:left w:val="single" w:sz="4" w:space="0" w:color="auto"/>
              <w:bottom w:val="single" w:sz="4" w:space="0" w:color="auto"/>
              <w:right w:val="single" w:sz="4" w:space="0" w:color="auto"/>
            </w:tcBorders>
            <w:hideMark/>
          </w:tcPr>
          <w:p w14:paraId="1B418753" w14:textId="77777777" w:rsidR="003D4516" w:rsidRDefault="003D4516" w:rsidP="009C416B">
            <w:pPr>
              <w:jc w:val="center"/>
              <w:rPr>
                <w:rFonts w:cs="Calibri"/>
                <w:b/>
                <w:bCs/>
                <w:sz w:val="18"/>
                <w:szCs w:val="18"/>
                <w:lang w:val="en-GB"/>
              </w:rPr>
            </w:pPr>
            <w:r>
              <w:rPr>
                <w:rFonts w:cs="Calibri"/>
                <w:b/>
                <w:bCs/>
                <w:sz w:val="18"/>
                <w:szCs w:val="18"/>
                <w:lang w:val="en-GB"/>
              </w:rPr>
              <w:t>2025</w:t>
            </w:r>
          </w:p>
        </w:tc>
        <w:tc>
          <w:tcPr>
            <w:tcW w:w="1088" w:type="dxa"/>
            <w:tcBorders>
              <w:top w:val="single" w:sz="4" w:space="0" w:color="auto"/>
              <w:left w:val="single" w:sz="4" w:space="0" w:color="auto"/>
              <w:bottom w:val="single" w:sz="4" w:space="0" w:color="auto"/>
              <w:right w:val="single" w:sz="4" w:space="0" w:color="auto"/>
            </w:tcBorders>
            <w:hideMark/>
          </w:tcPr>
          <w:p w14:paraId="3BF14149" w14:textId="77777777" w:rsidR="003D4516" w:rsidRDefault="003D4516" w:rsidP="009C416B">
            <w:pPr>
              <w:jc w:val="center"/>
              <w:rPr>
                <w:rFonts w:cs="Calibri"/>
                <w:b/>
                <w:bCs/>
                <w:sz w:val="18"/>
                <w:szCs w:val="18"/>
                <w:lang w:val="en-GB"/>
              </w:rPr>
            </w:pPr>
            <w:r>
              <w:rPr>
                <w:rFonts w:cs="Calibri"/>
                <w:b/>
                <w:bCs/>
                <w:sz w:val="18"/>
                <w:szCs w:val="18"/>
                <w:lang w:val="en-GB"/>
              </w:rPr>
              <w:t>2026</w:t>
            </w:r>
          </w:p>
        </w:tc>
        <w:tc>
          <w:tcPr>
            <w:tcW w:w="887" w:type="dxa"/>
            <w:gridSpan w:val="2"/>
            <w:tcBorders>
              <w:top w:val="single" w:sz="4" w:space="0" w:color="auto"/>
              <w:left w:val="single" w:sz="4" w:space="0" w:color="auto"/>
              <w:bottom w:val="single" w:sz="4" w:space="0" w:color="auto"/>
              <w:right w:val="single" w:sz="4" w:space="0" w:color="auto"/>
            </w:tcBorders>
            <w:hideMark/>
          </w:tcPr>
          <w:p w14:paraId="316267F6"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2027</w:t>
            </w:r>
          </w:p>
        </w:tc>
        <w:tc>
          <w:tcPr>
            <w:tcW w:w="972" w:type="dxa"/>
            <w:tcBorders>
              <w:top w:val="single" w:sz="4" w:space="0" w:color="auto"/>
              <w:left w:val="single" w:sz="4" w:space="0" w:color="auto"/>
              <w:bottom w:val="single" w:sz="4" w:space="0" w:color="auto"/>
              <w:right w:val="single" w:sz="4" w:space="0" w:color="auto"/>
            </w:tcBorders>
            <w:hideMark/>
          </w:tcPr>
          <w:p w14:paraId="273B0510"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2028</w:t>
            </w:r>
          </w:p>
        </w:tc>
        <w:tc>
          <w:tcPr>
            <w:tcW w:w="1265" w:type="dxa"/>
            <w:tcBorders>
              <w:top w:val="single" w:sz="4" w:space="0" w:color="auto"/>
              <w:left w:val="single" w:sz="4" w:space="0" w:color="auto"/>
              <w:bottom w:val="single" w:sz="4" w:space="0" w:color="auto"/>
              <w:right w:val="single" w:sz="4" w:space="0" w:color="auto"/>
            </w:tcBorders>
            <w:hideMark/>
          </w:tcPr>
          <w:p w14:paraId="1E3DEF3C"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beyond</w:t>
            </w:r>
          </w:p>
        </w:tc>
        <w:tc>
          <w:tcPr>
            <w:tcW w:w="377" w:type="dxa"/>
            <w:tcBorders>
              <w:top w:val="single" w:sz="4" w:space="0" w:color="auto"/>
              <w:left w:val="single" w:sz="4" w:space="0" w:color="auto"/>
              <w:bottom w:val="single" w:sz="4" w:space="0" w:color="auto"/>
              <w:right w:val="single" w:sz="4" w:space="0" w:color="auto"/>
            </w:tcBorders>
          </w:tcPr>
          <w:p w14:paraId="490FA205" w14:textId="77777777" w:rsidR="003D4516" w:rsidRDefault="003D4516" w:rsidP="009C416B">
            <w:pPr>
              <w:jc w:val="center"/>
              <w:rPr>
                <w:rFonts w:cs="Calibri"/>
                <w:b/>
                <w:bCs/>
                <w:color w:val="000000"/>
                <w:sz w:val="18"/>
                <w:szCs w:val="18"/>
                <w:lang w:val="en-GB"/>
              </w:rPr>
            </w:pPr>
          </w:p>
        </w:tc>
        <w:bookmarkEnd w:id="14"/>
      </w:tr>
      <w:tr w:rsidR="003D4516" w14:paraId="71C8377D" w14:textId="77777777" w:rsidTr="009C416B">
        <w:trPr>
          <w:trHeight w:val="341"/>
        </w:trPr>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14:paraId="39174C6E" w14:textId="77777777" w:rsidR="003D4516" w:rsidRDefault="003D4516" w:rsidP="009C416B">
            <w:pPr>
              <w:rPr>
                <w:rFonts w:cs="Calibri"/>
                <w:b/>
                <w:bCs/>
                <w:color w:val="000000"/>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4DDBE19D" w14:textId="77777777" w:rsidR="003D4516" w:rsidRDefault="003D4516" w:rsidP="009C416B">
            <w:pPr>
              <w:rPr>
                <w:rFonts w:cs="Calibri"/>
                <w:color w:val="000000"/>
                <w:sz w:val="20"/>
                <w:szCs w:val="20"/>
                <w:lang w:val="en-GB"/>
              </w:rPr>
            </w:pPr>
          </w:p>
        </w:tc>
        <w:tc>
          <w:tcPr>
            <w:tcW w:w="1134" w:type="dxa"/>
            <w:tcBorders>
              <w:top w:val="nil"/>
              <w:left w:val="nil"/>
              <w:bottom w:val="single" w:sz="8" w:space="0" w:color="auto"/>
              <w:right w:val="single" w:sz="8" w:space="0" w:color="auto"/>
            </w:tcBorders>
            <w:vAlign w:val="center"/>
          </w:tcPr>
          <w:p w14:paraId="076B3315" w14:textId="77777777" w:rsidR="003D4516" w:rsidRDefault="003D4516" w:rsidP="009C416B">
            <w:pPr>
              <w:jc w:val="center"/>
              <w:rPr>
                <w:rFonts w:cs="Calibri"/>
                <w:sz w:val="18"/>
                <w:szCs w:val="18"/>
                <w:lang w:val="en-GB"/>
              </w:rPr>
            </w:pPr>
          </w:p>
        </w:tc>
        <w:tc>
          <w:tcPr>
            <w:tcW w:w="1134" w:type="dxa"/>
            <w:gridSpan w:val="2"/>
            <w:tcBorders>
              <w:top w:val="nil"/>
              <w:left w:val="nil"/>
              <w:bottom w:val="single" w:sz="8" w:space="0" w:color="auto"/>
              <w:right w:val="single" w:sz="8" w:space="0" w:color="auto"/>
            </w:tcBorders>
            <w:vAlign w:val="center"/>
          </w:tcPr>
          <w:p w14:paraId="36936773" w14:textId="77777777" w:rsidR="003D4516" w:rsidRDefault="003D4516" w:rsidP="009C416B">
            <w:pPr>
              <w:rPr>
                <w:rFonts w:cs="Calibri"/>
                <w:sz w:val="18"/>
                <w:szCs w:val="18"/>
                <w:lang w:val="en-GB"/>
              </w:rPr>
            </w:pPr>
          </w:p>
        </w:tc>
        <w:tc>
          <w:tcPr>
            <w:tcW w:w="1081" w:type="dxa"/>
            <w:gridSpan w:val="2"/>
            <w:tcBorders>
              <w:top w:val="nil"/>
              <w:left w:val="nil"/>
              <w:bottom w:val="single" w:sz="8" w:space="0" w:color="auto"/>
              <w:right w:val="single" w:sz="8" w:space="0" w:color="auto"/>
            </w:tcBorders>
            <w:vAlign w:val="center"/>
          </w:tcPr>
          <w:p w14:paraId="4FF470CE" w14:textId="77777777" w:rsidR="003D4516" w:rsidRDefault="003D4516" w:rsidP="009C416B">
            <w:pPr>
              <w:rPr>
                <w:rFonts w:cs="Calibri"/>
                <w:sz w:val="18"/>
                <w:szCs w:val="18"/>
                <w:lang w:val="en-GB"/>
              </w:rPr>
            </w:pPr>
          </w:p>
        </w:tc>
        <w:tc>
          <w:tcPr>
            <w:tcW w:w="1088" w:type="dxa"/>
            <w:tcBorders>
              <w:top w:val="nil"/>
              <w:left w:val="nil"/>
              <w:bottom w:val="single" w:sz="8" w:space="0" w:color="auto"/>
              <w:right w:val="single" w:sz="8" w:space="0" w:color="auto"/>
            </w:tcBorders>
            <w:vAlign w:val="center"/>
          </w:tcPr>
          <w:p w14:paraId="6F987A5B" w14:textId="77777777" w:rsidR="003D4516" w:rsidRDefault="003D4516" w:rsidP="009C416B">
            <w:pPr>
              <w:jc w:val="center"/>
              <w:rPr>
                <w:rFonts w:cs="Calibri"/>
                <w:sz w:val="18"/>
                <w:szCs w:val="18"/>
                <w:lang w:val="en-GB"/>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14:paraId="479AE800" w14:textId="77777777" w:rsidR="003D4516" w:rsidRDefault="003D4516" w:rsidP="009C416B">
            <w:pPr>
              <w:jc w:val="center"/>
              <w:rPr>
                <w:rFonts w:cs="Calibri"/>
                <w:color w:val="000000"/>
                <w:sz w:val="18"/>
                <w:szCs w:val="18"/>
                <w:lang w:val="en-GB"/>
              </w:rPr>
            </w:pPr>
          </w:p>
        </w:tc>
        <w:tc>
          <w:tcPr>
            <w:tcW w:w="972" w:type="dxa"/>
            <w:tcBorders>
              <w:top w:val="single" w:sz="4" w:space="0" w:color="auto"/>
              <w:left w:val="single" w:sz="4" w:space="0" w:color="auto"/>
              <w:bottom w:val="single" w:sz="4" w:space="0" w:color="auto"/>
              <w:right w:val="single" w:sz="4" w:space="0" w:color="auto"/>
            </w:tcBorders>
            <w:vAlign w:val="center"/>
          </w:tcPr>
          <w:p w14:paraId="1CC3140E" w14:textId="77777777" w:rsidR="003D4516" w:rsidRDefault="003D4516" w:rsidP="009C416B">
            <w:pPr>
              <w:jc w:val="center"/>
              <w:rPr>
                <w:rFonts w:cs="Calibri"/>
                <w:color w:val="000000"/>
                <w:sz w:val="18"/>
                <w:szCs w:val="18"/>
                <w:lang w:val="en-GB"/>
              </w:rPr>
            </w:pPr>
          </w:p>
        </w:tc>
        <w:tc>
          <w:tcPr>
            <w:tcW w:w="1265" w:type="dxa"/>
            <w:tcBorders>
              <w:top w:val="single" w:sz="4" w:space="0" w:color="auto"/>
              <w:left w:val="single" w:sz="4" w:space="0" w:color="auto"/>
              <w:bottom w:val="single" w:sz="4" w:space="0" w:color="auto"/>
              <w:right w:val="single" w:sz="4" w:space="0" w:color="auto"/>
            </w:tcBorders>
            <w:vAlign w:val="center"/>
          </w:tcPr>
          <w:p w14:paraId="02E51E94" w14:textId="77777777" w:rsidR="003D4516" w:rsidRDefault="003D4516" w:rsidP="009C416B">
            <w:pPr>
              <w:jc w:val="center"/>
              <w:rPr>
                <w:rFonts w:cs="Calibri"/>
                <w:color w:val="000000"/>
                <w:sz w:val="18"/>
                <w:szCs w:val="18"/>
                <w:lang w:val="en-GB"/>
              </w:rPr>
            </w:pPr>
          </w:p>
        </w:tc>
        <w:tc>
          <w:tcPr>
            <w:tcW w:w="377" w:type="dxa"/>
            <w:tcBorders>
              <w:top w:val="single" w:sz="4" w:space="0" w:color="auto"/>
              <w:left w:val="single" w:sz="4" w:space="0" w:color="auto"/>
              <w:bottom w:val="single" w:sz="4" w:space="0" w:color="auto"/>
              <w:right w:val="single" w:sz="4" w:space="0" w:color="auto"/>
            </w:tcBorders>
          </w:tcPr>
          <w:p w14:paraId="2AD2BDCD" w14:textId="77777777" w:rsidR="003D4516" w:rsidRDefault="003D4516" w:rsidP="009C416B">
            <w:pPr>
              <w:jc w:val="center"/>
              <w:rPr>
                <w:rFonts w:cs="Calibri"/>
                <w:color w:val="000000"/>
                <w:sz w:val="18"/>
                <w:szCs w:val="18"/>
                <w:lang w:val="en-GB"/>
              </w:rPr>
            </w:pPr>
          </w:p>
        </w:tc>
      </w:tr>
      <w:tr w:rsidR="003D4516" w14:paraId="38858FF0" w14:textId="77777777" w:rsidTr="009C416B">
        <w:trPr>
          <w:trHeight w:val="125"/>
        </w:trPr>
        <w:tc>
          <w:tcPr>
            <w:tcW w:w="1271" w:type="dxa"/>
            <w:gridSpan w:val="3"/>
            <w:vMerge w:val="restart"/>
            <w:tcBorders>
              <w:top w:val="single" w:sz="4" w:space="0" w:color="auto"/>
              <w:left w:val="single" w:sz="4" w:space="0" w:color="auto"/>
              <w:bottom w:val="single" w:sz="4" w:space="0" w:color="auto"/>
              <w:right w:val="single" w:sz="4" w:space="0" w:color="auto"/>
            </w:tcBorders>
            <w:hideMark/>
          </w:tcPr>
          <w:p w14:paraId="2905BB56" w14:textId="77777777" w:rsidR="003D4516" w:rsidRDefault="003D4516" w:rsidP="009C416B">
            <w:pPr>
              <w:rPr>
                <w:rFonts w:cs="Calibri"/>
                <w:b/>
                <w:bCs/>
                <w:color w:val="000000"/>
                <w:sz w:val="18"/>
                <w:szCs w:val="18"/>
                <w:lang w:val="en-GB"/>
              </w:rPr>
            </w:pPr>
            <w:r>
              <w:rPr>
                <w:rFonts w:cs="Calibri"/>
                <w:b/>
                <w:bCs/>
                <w:color w:val="000000"/>
                <w:sz w:val="18"/>
                <w:szCs w:val="18"/>
                <w:lang w:val="en-GB"/>
              </w:rPr>
              <w:t>Projected financial Return KER #1 and #2 to EIT Food</w:t>
            </w:r>
          </w:p>
        </w:tc>
        <w:tc>
          <w:tcPr>
            <w:tcW w:w="992" w:type="dxa"/>
            <w:tcBorders>
              <w:top w:val="single" w:sz="4" w:space="0" w:color="auto"/>
              <w:left w:val="single" w:sz="4" w:space="0" w:color="auto"/>
              <w:bottom w:val="single" w:sz="4" w:space="0" w:color="auto"/>
              <w:right w:val="single" w:sz="4" w:space="0" w:color="auto"/>
            </w:tcBorders>
            <w:hideMark/>
          </w:tcPr>
          <w:p w14:paraId="5BF08EB5"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2022</w:t>
            </w:r>
          </w:p>
        </w:tc>
        <w:tc>
          <w:tcPr>
            <w:tcW w:w="1134" w:type="dxa"/>
            <w:tcBorders>
              <w:top w:val="single" w:sz="4" w:space="0" w:color="auto"/>
              <w:left w:val="single" w:sz="4" w:space="0" w:color="auto"/>
              <w:bottom w:val="single" w:sz="4" w:space="0" w:color="auto"/>
              <w:right w:val="single" w:sz="4" w:space="0" w:color="auto"/>
            </w:tcBorders>
            <w:hideMark/>
          </w:tcPr>
          <w:p w14:paraId="369FA5FF"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2023</w:t>
            </w:r>
          </w:p>
        </w:tc>
        <w:tc>
          <w:tcPr>
            <w:tcW w:w="1134" w:type="dxa"/>
            <w:gridSpan w:val="2"/>
            <w:tcBorders>
              <w:top w:val="single" w:sz="4" w:space="0" w:color="auto"/>
              <w:left w:val="single" w:sz="4" w:space="0" w:color="auto"/>
              <w:bottom w:val="single" w:sz="4" w:space="0" w:color="auto"/>
              <w:right w:val="single" w:sz="4" w:space="0" w:color="auto"/>
            </w:tcBorders>
            <w:hideMark/>
          </w:tcPr>
          <w:p w14:paraId="25B00539"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2024</w:t>
            </w:r>
          </w:p>
        </w:tc>
        <w:tc>
          <w:tcPr>
            <w:tcW w:w="1081" w:type="dxa"/>
            <w:gridSpan w:val="2"/>
            <w:tcBorders>
              <w:top w:val="single" w:sz="4" w:space="0" w:color="auto"/>
              <w:left w:val="single" w:sz="4" w:space="0" w:color="auto"/>
              <w:bottom w:val="single" w:sz="4" w:space="0" w:color="auto"/>
              <w:right w:val="single" w:sz="4" w:space="0" w:color="auto"/>
            </w:tcBorders>
            <w:hideMark/>
          </w:tcPr>
          <w:p w14:paraId="6CC53086"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2025</w:t>
            </w:r>
          </w:p>
        </w:tc>
        <w:tc>
          <w:tcPr>
            <w:tcW w:w="1088" w:type="dxa"/>
            <w:tcBorders>
              <w:top w:val="single" w:sz="4" w:space="0" w:color="auto"/>
              <w:left w:val="single" w:sz="4" w:space="0" w:color="auto"/>
              <w:bottom w:val="single" w:sz="4" w:space="0" w:color="auto"/>
              <w:right w:val="single" w:sz="4" w:space="0" w:color="auto"/>
            </w:tcBorders>
            <w:hideMark/>
          </w:tcPr>
          <w:p w14:paraId="63E37632"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2026</w:t>
            </w:r>
          </w:p>
        </w:tc>
        <w:tc>
          <w:tcPr>
            <w:tcW w:w="887" w:type="dxa"/>
            <w:gridSpan w:val="2"/>
            <w:tcBorders>
              <w:top w:val="single" w:sz="4" w:space="0" w:color="auto"/>
              <w:left w:val="single" w:sz="4" w:space="0" w:color="auto"/>
              <w:bottom w:val="single" w:sz="4" w:space="0" w:color="auto"/>
              <w:right w:val="single" w:sz="4" w:space="0" w:color="auto"/>
            </w:tcBorders>
            <w:hideMark/>
          </w:tcPr>
          <w:p w14:paraId="283A3D33"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2027</w:t>
            </w:r>
          </w:p>
        </w:tc>
        <w:tc>
          <w:tcPr>
            <w:tcW w:w="972" w:type="dxa"/>
            <w:tcBorders>
              <w:top w:val="single" w:sz="4" w:space="0" w:color="auto"/>
              <w:left w:val="single" w:sz="4" w:space="0" w:color="auto"/>
              <w:bottom w:val="single" w:sz="4" w:space="0" w:color="auto"/>
              <w:right w:val="single" w:sz="4" w:space="0" w:color="auto"/>
            </w:tcBorders>
            <w:hideMark/>
          </w:tcPr>
          <w:p w14:paraId="5D4A899E"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2028</w:t>
            </w:r>
          </w:p>
        </w:tc>
        <w:tc>
          <w:tcPr>
            <w:tcW w:w="1265" w:type="dxa"/>
            <w:tcBorders>
              <w:top w:val="single" w:sz="4" w:space="0" w:color="auto"/>
              <w:left w:val="single" w:sz="4" w:space="0" w:color="auto"/>
              <w:bottom w:val="single" w:sz="4" w:space="0" w:color="auto"/>
              <w:right w:val="single" w:sz="4" w:space="0" w:color="auto"/>
            </w:tcBorders>
            <w:hideMark/>
          </w:tcPr>
          <w:p w14:paraId="0F8E662A" w14:textId="77777777" w:rsidR="003D4516" w:rsidRDefault="003D4516" w:rsidP="009C416B">
            <w:pPr>
              <w:jc w:val="center"/>
              <w:rPr>
                <w:rFonts w:cs="Calibri"/>
                <w:b/>
                <w:bCs/>
                <w:color w:val="000000"/>
                <w:sz w:val="18"/>
                <w:szCs w:val="18"/>
                <w:lang w:val="en-GB"/>
              </w:rPr>
            </w:pPr>
            <w:r>
              <w:rPr>
                <w:rFonts w:cs="Calibri"/>
                <w:b/>
                <w:bCs/>
                <w:color w:val="000000"/>
                <w:sz w:val="18"/>
                <w:szCs w:val="18"/>
                <w:lang w:val="en-GB"/>
              </w:rPr>
              <w:t>beyond</w:t>
            </w:r>
          </w:p>
        </w:tc>
        <w:tc>
          <w:tcPr>
            <w:tcW w:w="377" w:type="dxa"/>
            <w:tcBorders>
              <w:top w:val="single" w:sz="4" w:space="0" w:color="auto"/>
              <w:left w:val="single" w:sz="4" w:space="0" w:color="auto"/>
              <w:bottom w:val="single" w:sz="4" w:space="0" w:color="auto"/>
              <w:right w:val="single" w:sz="4" w:space="0" w:color="auto"/>
            </w:tcBorders>
          </w:tcPr>
          <w:p w14:paraId="64F22515" w14:textId="77777777" w:rsidR="003D4516" w:rsidRDefault="003D4516" w:rsidP="009C416B">
            <w:pPr>
              <w:jc w:val="center"/>
              <w:rPr>
                <w:rFonts w:cs="Calibri"/>
                <w:b/>
                <w:bCs/>
                <w:color w:val="000000"/>
                <w:sz w:val="18"/>
                <w:szCs w:val="18"/>
                <w:lang w:val="en-GB"/>
              </w:rPr>
            </w:pPr>
          </w:p>
        </w:tc>
      </w:tr>
      <w:tr w:rsidR="003D4516" w14:paraId="3267AB9E" w14:textId="77777777" w:rsidTr="009C416B">
        <w:trPr>
          <w:trHeight w:val="341"/>
        </w:trPr>
        <w:tc>
          <w:tcPr>
            <w:tcW w:w="1271" w:type="dxa"/>
            <w:gridSpan w:val="3"/>
            <w:vMerge/>
            <w:tcBorders>
              <w:top w:val="single" w:sz="4" w:space="0" w:color="auto"/>
              <w:left w:val="single" w:sz="4" w:space="0" w:color="auto"/>
              <w:bottom w:val="single" w:sz="4" w:space="0" w:color="auto"/>
              <w:right w:val="single" w:sz="4" w:space="0" w:color="auto"/>
            </w:tcBorders>
            <w:vAlign w:val="center"/>
            <w:hideMark/>
          </w:tcPr>
          <w:p w14:paraId="76EFC6F2" w14:textId="77777777" w:rsidR="003D4516" w:rsidRDefault="003D4516" w:rsidP="009C416B">
            <w:pPr>
              <w:rPr>
                <w:rFonts w:cs="Calibri"/>
                <w:b/>
                <w:bCs/>
                <w:color w:val="000000"/>
                <w:sz w:val="18"/>
                <w:szCs w:val="18"/>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14:paraId="67B02D2B" w14:textId="77777777" w:rsidR="003D4516" w:rsidRDefault="003D4516" w:rsidP="009C416B">
            <w:pPr>
              <w:rPr>
                <w:rFonts w:cs="Calibri"/>
                <w:color w:val="000000"/>
                <w:sz w:val="20"/>
                <w:szCs w:val="20"/>
                <w:lang w:val="en-GB"/>
              </w:rPr>
            </w:pPr>
          </w:p>
        </w:tc>
        <w:tc>
          <w:tcPr>
            <w:tcW w:w="1134" w:type="dxa"/>
            <w:tcBorders>
              <w:top w:val="single" w:sz="4" w:space="0" w:color="auto"/>
              <w:left w:val="single" w:sz="4" w:space="0" w:color="auto"/>
              <w:bottom w:val="single" w:sz="4" w:space="0" w:color="auto"/>
              <w:right w:val="single" w:sz="4" w:space="0" w:color="auto"/>
            </w:tcBorders>
            <w:vAlign w:val="center"/>
          </w:tcPr>
          <w:p w14:paraId="6CC1C32E" w14:textId="77777777" w:rsidR="003D4516" w:rsidRDefault="003D4516" w:rsidP="009C416B">
            <w:pPr>
              <w:jc w:val="center"/>
              <w:rPr>
                <w:rFonts w:ascii="Cambria" w:hAnsi="Cambria" w:cs="Calibri"/>
                <w:color w:val="000000"/>
                <w:sz w:val="18"/>
                <w:szCs w:val="18"/>
                <w:lang w:val="en-GB"/>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60699F84" w14:textId="77777777" w:rsidR="003D4516" w:rsidRDefault="003D4516" w:rsidP="009C416B">
            <w:pPr>
              <w:jc w:val="center"/>
              <w:rPr>
                <w:rFonts w:ascii="Cambria" w:hAnsi="Cambria" w:cs="Calibri"/>
                <w:color w:val="000000"/>
                <w:sz w:val="18"/>
                <w:szCs w:val="18"/>
                <w:lang w:val="en-GB"/>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14:paraId="4F1962B2" w14:textId="77777777" w:rsidR="003D4516" w:rsidRDefault="003D4516" w:rsidP="009C416B">
            <w:pPr>
              <w:jc w:val="center"/>
              <w:rPr>
                <w:rFonts w:cs="Calibri"/>
                <w:color w:val="000000"/>
                <w:sz w:val="18"/>
                <w:szCs w:val="18"/>
                <w:lang w:val="en-GB"/>
              </w:rPr>
            </w:pPr>
          </w:p>
        </w:tc>
        <w:tc>
          <w:tcPr>
            <w:tcW w:w="1088" w:type="dxa"/>
            <w:tcBorders>
              <w:top w:val="single" w:sz="4" w:space="0" w:color="auto"/>
              <w:left w:val="single" w:sz="4" w:space="0" w:color="auto"/>
              <w:bottom w:val="single" w:sz="4" w:space="0" w:color="auto"/>
              <w:right w:val="single" w:sz="4" w:space="0" w:color="auto"/>
            </w:tcBorders>
            <w:vAlign w:val="center"/>
          </w:tcPr>
          <w:p w14:paraId="1BEC150B" w14:textId="77777777" w:rsidR="003D4516" w:rsidRDefault="003D4516" w:rsidP="009C416B">
            <w:pPr>
              <w:jc w:val="center"/>
              <w:rPr>
                <w:rFonts w:cs="Calibri"/>
                <w:color w:val="000000"/>
                <w:sz w:val="18"/>
                <w:szCs w:val="18"/>
                <w:lang w:val="en-GB"/>
              </w:rPr>
            </w:pPr>
          </w:p>
        </w:tc>
        <w:tc>
          <w:tcPr>
            <w:tcW w:w="887" w:type="dxa"/>
            <w:gridSpan w:val="2"/>
            <w:tcBorders>
              <w:top w:val="single" w:sz="4" w:space="0" w:color="auto"/>
              <w:left w:val="single" w:sz="4" w:space="0" w:color="auto"/>
              <w:bottom w:val="single" w:sz="4" w:space="0" w:color="auto"/>
              <w:right w:val="single" w:sz="4" w:space="0" w:color="auto"/>
            </w:tcBorders>
            <w:vAlign w:val="center"/>
          </w:tcPr>
          <w:p w14:paraId="4AEFFA52" w14:textId="77777777" w:rsidR="003D4516" w:rsidRDefault="003D4516" w:rsidP="009C416B">
            <w:pPr>
              <w:jc w:val="center"/>
              <w:rPr>
                <w:rFonts w:cs="Calibri"/>
                <w:color w:val="000000"/>
                <w:sz w:val="18"/>
                <w:szCs w:val="18"/>
                <w:lang w:val="en-GB"/>
              </w:rPr>
            </w:pPr>
          </w:p>
        </w:tc>
        <w:tc>
          <w:tcPr>
            <w:tcW w:w="972" w:type="dxa"/>
            <w:tcBorders>
              <w:top w:val="single" w:sz="4" w:space="0" w:color="auto"/>
              <w:left w:val="single" w:sz="4" w:space="0" w:color="auto"/>
              <w:bottom w:val="single" w:sz="4" w:space="0" w:color="auto"/>
              <w:right w:val="single" w:sz="4" w:space="0" w:color="auto"/>
            </w:tcBorders>
            <w:vAlign w:val="center"/>
          </w:tcPr>
          <w:p w14:paraId="736305E2" w14:textId="77777777" w:rsidR="003D4516" w:rsidRDefault="003D4516" w:rsidP="009C416B">
            <w:pPr>
              <w:jc w:val="center"/>
              <w:rPr>
                <w:rFonts w:cs="Calibri"/>
                <w:color w:val="000000"/>
                <w:sz w:val="18"/>
                <w:szCs w:val="18"/>
                <w:lang w:val="en-GB"/>
              </w:rPr>
            </w:pPr>
          </w:p>
        </w:tc>
        <w:tc>
          <w:tcPr>
            <w:tcW w:w="1265" w:type="dxa"/>
            <w:tcBorders>
              <w:top w:val="single" w:sz="4" w:space="0" w:color="auto"/>
              <w:left w:val="single" w:sz="4" w:space="0" w:color="auto"/>
              <w:bottom w:val="single" w:sz="4" w:space="0" w:color="auto"/>
              <w:right w:val="single" w:sz="4" w:space="0" w:color="auto"/>
            </w:tcBorders>
            <w:vAlign w:val="center"/>
          </w:tcPr>
          <w:p w14:paraId="38E5B719" w14:textId="77777777" w:rsidR="003D4516" w:rsidRDefault="003D4516" w:rsidP="009C416B">
            <w:pPr>
              <w:jc w:val="center"/>
              <w:rPr>
                <w:rFonts w:cs="Calibri"/>
                <w:color w:val="000000"/>
                <w:sz w:val="18"/>
                <w:szCs w:val="18"/>
                <w:lang w:val="en-GB"/>
              </w:rPr>
            </w:pPr>
          </w:p>
        </w:tc>
        <w:tc>
          <w:tcPr>
            <w:tcW w:w="377" w:type="dxa"/>
            <w:tcBorders>
              <w:top w:val="single" w:sz="4" w:space="0" w:color="auto"/>
              <w:left w:val="single" w:sz="4" w:space="0" w:color="auto"/>
              <w:bottom w:val="single" w:sz="4" w:space="0" w:color="auto"/>
              <w:right w:val="single" w:sz="4" w:space="0" w:color="auto"/>
            </w:tcBorders>
          </w:tcPr>
          <w:p w14:paraId="5FAE07A2" w14:textId="77777777" w:rsidR="003D4516" w:rsidRDefault="003D4516" w:rsidP="009C416B">
            <w:pPr>
              <w:jc w:val="center"/>
              <w:rPr>
                <w:rFonts w:cs="Calibri"/>
                <w:color w:val="000000"/>
                <w:sz w:val="18"/>
                <w:szCs w:val="18"/>
                <w:lang w:val="en-GB"/>
              </w:rPr>
            </w:pPr>
          </w:p>
        </w:tc>
      </w:tr>
      <w:tr w:rsidR="003D4516" w14:paraId="5D0AD9D5" w14:textId="77777777" w:rsidTr="009C416B">
        <w:trPr>
          <w:trHeight w:val="244"/>
        </w:trPr>
        <w:tc>
          <w:tcPr>
            <w:tcW w:w="10201" w:type="dxa"/>
            <w:gridSpan w:val="15"/>
            <w:tcBorders>
              <w:top w:val="single" w:sz="4" w:space="0" w:color="auto"/>
              <w:left w:val="single" w:sz="4" w:space="0" w:color="auto"/>
              <w:bottom w:val="single" w:sz="4" w:space="0" w:color="auto"/>
              <w:right w:val="single" w:sz="4" w:space="0" w:color="auto"/>
            </w:tcBorders>
            <w:hideMark/>
          </w:tcPr>
          <w:p w14:paraId="4E2F971A" w14:textId="77777777" w:rsidR="003D4516" w:rsidRDefault="003D4516" w:rsidP="009C416B">
            <w:pPr>
              <w:rPr>
                <w:rFonts w:cs="Calibri"/>
                <w:b/>
                <w:bCs/>
                <w:color w:val="000000"/>
                <w:sz w:val="18"/>
                <w:szCs w:val="18"/>
                <w:lang w:val="en-GB"/>
              </w:rPr>
            </w:pPr>
            <w:r>
              <w:rPr>
                <w:rFonts w:cs="Calibri"/>
                <w:b/>
                <w:bCs/>
                <w:color w:val="000000"/>
                <w:sz w:val="18"/>
                <w:szCs w:val="18"/>
                <w:lang w:val="en-GB"/>
              </w:rPr>
              <w:t xml:space="preserve">Explanation (if relevant and where required): </w:t>
            </w:r>
          </w:p>
          <w:p w14:paraId="12C49DF5" w14:textId="77777777" w:rsidR="003D4516" w:rsidRDefault="003D4516" w:rsidP="003D4516">
            <w:pPr>
              <w:pStyle w:val="ListParagraph"/>
              <w:numPr>
                <w:ilvl w:val="0"/>
                <w:numId w:val="2"/>
              </w:numPr>
              <w:rPr>
                <w:rFonts w:cs="Calibri"/>
                <w:color w:val="000000"/>
                <w:sz w:val="18"/>
                <w:szCs w:val="18"/>
                <w:lang w:val="en-GB"/>
              </w:rPr>
            </w:pPr>
            <w:r>
              <w:rPr>
                <w:rFonts w:cs="Calibri"/>
                <w:bCs/>
                <w:color w:val="000000"/>
                <w:sz w:val="18"/>
                <w:szCs w:val="18"/>
                <w:lang w:val="en-GB"/>
              </w:rPr>
              <w:t xml:space="preserve">The projected revenues </w:t>
            </w:r>
            <w:r>
              <w:rPr>
                <w:rFonts w:cs="Calibri"/>
                <w:color w:val="000000"/>
                <w:sz w:val="18"/>
                <w:szCs w:val="18"/>
                <w:lang w:val="en-GB"/>
              </w:rPr>
              <w:t>and Revenue Sharing to EIT Food are an estimation that serves EIT Food internal income projections, and by no means a legal obligation of the exploitation or KAVA project beneficiaries.</w:t>
            </w:r>
          </w:p>
          <w:p w14:paraId="1BEC8DDB" w14:textId="77777777" w:rsidR="003D4516" w:rsidRDefault="003D4516" w:rsidP="003D4516">
            <w:pPr>
              <w:pStyle w:val="ListParagraph"/>
              <w:numPr>
                <w:ilvl w:val="0"/>
                <w:numId w:val="2"/>
              </w:numPr>
              <w:rPr>
                <w:rFonts w:cs="Calibri"/>
                <w:color w:val="000000"/>
                <w:sz w:val="18"/>
                <w:szCs w:val="18"/>
                <w:lang w:val="en-GB"/>
              </w:rPr>
            </w:pPr>
            <w:r>
              <w:rPr>
                <w:rFonts w:cs="Calibri"/>
                <w:color w:val="000000"/>
                <w:sz w:val="18"/>
                <w:szCs w:val="18"/>
                <w:lang w:val="en-GB"/>
              </w:rPr>
              <w:t xml:space="preserve">Based on the total projected revenues of KER #1 and KER #2 the cap on revenues sharing with EIT Food is expected to be realised in 20... The revenues sharing will continue after </w:t>
            </w:r>
            <w:proofErr w:type="gramStart"/>
            <w:r>
              <w:rPr>
                <w:rFonts w:cs="Calibri"/>
                <w:color w:val="000000"/>
                <w:sz w:val="18"/>
                <w:szCs w:val="18"/>
                <w:lang w:val="en-GB"/>
              </w:rPr>
              <w:t>20..</w:t>
            </w:r>
            <w:proofErr w:type="gramEnd"/>
            <w:r>
              <w:rPr>
                <w:rFonts w:cs="Calibri"/>
                <w:color w:val="000000"/>
                <w:sz w:val="18"/>
                <w:szCs w:val="18"/>
                <w:lang w:val="en-GB"/>
              </w:rPr>
              <w:t xml:space="preserve"> but no later than 2025 in case the cap on revenues sharing has not been realised in 2023 due to realised revenues being lower than projected revenues.</w:t>
            </w:r>
          </w:p>
        </w:tc>
      </w:tr>
      <w:tr w:rsidR="003D4516" w14:paraId="1752DC61"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453A0F7" w14:textId="77777777" w:rsidR="003D4516" w:rsidRDefault="003D4516" w:rsidP="009C416B">
            <w:pPr>
              <w:rPr>
                <w:b/>
                <w:bCs/>
                <w:sz w:val="18"/>
                <w:szCs w:val="18"/>
                <w:lang w:val="en-GB"/>
              </w:rPr>
            </w:pPr>
            <w:r>
              <w:rPr>
                <w:b/>
                <w:bCs/>
                <w:sz w:val="18"/>
                <w:szCs w:val="18"/>
                <w:lang w:val="en-GB"/>
              </w:rPr>
              <w:t xml:space="preserve">Monitoring of calculation base for the RSM </w:t>
            </w:r>
          </w:p>
        </w:tc>
      </w:tr>
      <w:tr w:rsidR="003D4516" w14:paraId="4206606E" w14:textId="77777777" w:rsidTr="009C416B">
        <w:trPr>
          <w:trHeight w:val="636"/>
        </w:trPr>
        <w:tc>
          <w:tcPr>
            <w:tcW w:w="1053" w:type="dxa"/>
            <w:gridSpan w:val="2"/>
            <w:tcBorders>
              <w:top w:val="single" w:sz="4" w:space="0" w:color="auto"/>
              <w:left w:val="single" w:sz="4" w:space="0" w:color="auto"/>
              <w:bottom w:val="single" w:sz="4" w:space="0" w:color="auto"/>
              <w:right w:val="single" w:sz="4" w:space="0" w:color="auto"/>
            </w:tcBorders>
            <w:hideMark/>
          </w:tcPr>
          <w:p w14:paraId="60DD3500" w14:textId="77777777" w:rsidR="003D4516" w:rsidRDefault="003D4516" w:rsidP="009C416B">
            <w:pPr>
              <w:rPr>
                <w:sz w:val="18"/>
                <w:szCs w:val="18"/>
                <w:lang w:val="en-GB"/>
              </w:rPr>
            </w:pPr>
            <w:r>
              <w:rPr>
                <w:sz w:val="18"/>
                <w:szCs w:val="18"/>
                <w:lang w:val="en-GB"/>
              </w:rPr>
              <w:t>KER 1 and 2</w:t>
            </w:r>
          </w:p>
        </w:tc>
        <w:tc>
          <w:tcPr>
            <w:tcW w:w="9148" w:type="dxa"/>
            <w:gridSpan w:val="13"/>
            <w:tcBorders>
              <w:top w:val="single" w:sz="4" w:space="0" w:color="auto"/>
              <w:left w:val="single" w:sz="4" w:space="0" w:color="auto"/>
              <w:bottom w:val="single" w:sz="4" w:space="0" w:color="auto"/>
              <w:right w:val="single" w:sz="4" w:space="0" w:color="auto"/>
            </w:tcBorders>
            <w:hideMark/>
          </w:tcPr>
          <w:p w14:paraId="214730F2" w14:textId="77777777" w:rsidR="003D4516" w:rsidRDefault="003D4516" w:rsidP="003D4516">
            <w:pPr>
              <w:pStyle w:val="ListParagraph"/>
              <w:numPr>
                <w:ilvl w:val="0"/>
                <w:numId w:val="2"/>
              </w:numPr>
              <w:rPr>
                <w:rFonts w:eastAsia="Times New Roman"/>
                <w:sz w:val="18"/>
                <w:szCs w:val="18"/>
              </w:rPr>
            </w:pPr>
            <w:r>
              <w:rPr>
                <w:rFonts w:eastAsia="Times New Roman"/>
                <w:sz w:val="18"/>
                <w:szCs w:val="18"/>
              </w:rPr>
              <w:t xml:space="preserve">The exploitation partner will inform EIT Food about the annual revenues </w:t>
            </w:r>
            <w:r>
              <w:rPr>
                <w:sz w:val="18"/>
                <w:szCs w:val="18"/>
                <w:lang w:val="en-GB"/>
              </w:rPr>
              <w:t xml:space="preserve">generated </w:t>
            </w:r>
            <w:r>
              <w:rPr>
                <w:rFonts w:eastAsia="Times New Roman"/>
                <w:sz w:val="18"/>
                <w:szCs w:val="18"/>
              </w:rPr>
              <w:t xml:space="preserve">and a calculation of the EIT’s revenue share through a dedicated annual report using a template to be provided by EIT Food. </w:t>
            </w:r>
          </w:p>
          <w:p w14:paraId="432D75A0" w14:textId="77777777" w:rsidR="003D4516" w:rsidRDefault="003D4516" w:rsidP="003D4516">
            <w:pPr>
              <w:pStyle w:val="ListParagraph"/>
              <w:numPr>
                <w:ilvl w:val="0"/>
                <w:numId w:val="2"/>
              </w:numPr>
              <w:jc w:val="both"/>
              <w:rPr>
                <w:sz w:val="18"/>
                <w:szCs w:val="18"/>
                <w:lang w:val="en-GB"/>
              </w:rPr>
            </w:pPr>
            <w:r>
              <w:rPr>
                <w:rFonts w:eastAsia="Times New Roman"/>
                <w:sz w:val="18"/>
                <w:szCs w:val="18"/>
              </w:rPr>
              <w:t>This report will quantify the exact annual revenues generated related to the exploitation of the Key Exploitable Result as defined in this TermSheet</w:t>
            </w:r>
            <w:r w:rsidRPr="00D27380">
              <w:rPr>
                <w:rFonts w:eastAsia="Times New Roman"/>
                <w:sz w:val="18"/>
                <w:szCs w:val="18"/>
              </w:rPr>
              <w:t xml:space="preserve">. </w:t>
            </w:r>
            <w:r w:rsidRPr="00767F35">
              <w:rPr>
                <w:sz w:val="18"/>
                <w:szCs w:val="18"/>
                <w:lang w:val="en-GB"/>
              </w:rPr>
              <w:t xml:space="preserve">The Exploiting Partner will provide EIT Food with a signed sworn declaration on the veracity of the annual KER report not later than </w:t>
            </w:r>
            <w:r>
              <w:rPr>
                <w:sz w:val="18"/>
                <w:szCs w:val="18"/>
                <w:lang w:val="en-GB"/>
              </w:rPr>
              <w:t>Month</w:t>
            </w:r>
            <w:r w:rsidRPr="00767F35">
              <w:rPr>
                <w:sz w:val="18"/>
                <w:szCs w:val="18"/>
                <w:lang w:val="en-GB"/>
              </w:rPr>
              <w:t xml:space="preserve"> </w:t>
            </w:r>
            <w:r>
              <w:rPr>
                <w:sz w:val="18"/>
                <w:szCs w:val="18"/>
                <w:lang w:val="en-GB"/>
              </w:rPr>
              <w:t>XX</w:t>
            </w:r>
            <w:r w:rsidRPr="00767F35">
              <w:rPr>
                <w:sz w:val="18"/>
                <w:szCs w:val="18"/>
                <w:lang w:val="en-GB"/>
              </w:rPr>
              <w:t xml:space="preserve"> of the subsequent calendar year. EIT Food will provide a template for this declaration. </w:t>
            </w:r>
          </w:p>
        </w:tc>
      </w:tr>
      <w:tr w:rsidR="003D4516" w14:paraId="78E5E713"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AE259E" w14:textId="77777777" w:rsidR="003D4516" w:rsidRDefault="003D4516" w:rsidP="009C416B">
            <w:pPr>
              <w:rPr>
                <w:b/>
                <w:bCs/>
                <w:sz w:val="18"/>
                <w:szCs w:val="18"/>
                <w:lang w:val="en-GB"/>
              </w:rPr>
            </w:pPr>
            <w:r>
              <w:rPr>
                <w:b/>
                <w:bCs/>
                <w:sz w:val="18"/>
                <w:szCs w:val="18"/>
                <w:lang w:val="en-GB"/>
              </w:rPr>
              <w:t>Payment schedule</w:t>
            </w:r>
          </w:p>
        </w:tc>
      </w:tr>
      <w:tr w:rsidR="003D4516" w14:paraId="5FA0DE3A" w14:textId="77777777" w:rsidTr="009C416B">
        <w:trPr>
          <w:trHeight w:val="165"/>
        </w:trPr>
        <w:tc>
          <w:tcPr>
            <w:tcW w:w="1053" w:type="dxa"/>
            <w:gridSpan w:val="2"/>
            <w:tcBorders>
              <w:top w:val="single" w:sz="4" w:space="0" w:color="auto"/>
              <w:left w:val="single" w:sz="4" w:space="0" w:color="auto"/>
              <w:bottom w:val="single" w:sz="4" w:space="0" w:color="auto"/>
              <w:right w:val="single" w:sz="4" w:space="0" w:color="auto"/>
            </w:tcBorders>
            <w:hideMark/>
          </w:tcPr>
          <w:p w14:paraId="26DECB73" w14:textId="77777777" w:rsidR="003D4516" w:rsidRDefault="003D4516" w:rsidP="009C416B">
            <w:pPr>
              <w:rPr>
                <w:sz w:val="18"/>
                <w:szCs w:val="18"/>
                <w:lang w:val="en-GB"/>
              </w:rPr>
            </w:pPr>
            <w:r>
              <w:rPr>
                <w:sz w:val="18"/>
                <w:szCs w:val="18"/>
                <w:lang w:val="en-GB"/>
              </w:rPr>
              <w:t>KER 1 and 2</w:t>
            </w:r>
          </w:p>
        </w:tc>
        <w:tc>
          <w:tcPr>
            <w:tcW w:w="9148" w:type="dxa"/>
            <w:gridSpan w:val="13"/>
            <w:tcBorders>
              <w:top w:val="single" w:sz="4" w:space="0" w:color="auto"/>
              <w:left w:val="single" w:sz="4" w:space="0" w:color="auto"/>
              <w:bottom w:val="single" w:sz="4" w:space="0" w:color="auto"/>
              <w:right w:val="single" w:sz="4" w:space="0" w:color="auto"/>
            </w:tcBorders>
            <w:hideMark/>
          </w:tcPr>
          <w:p w14:paraId="4C2FC4E2" w14:textId="77777777" w:rsidR="003D4516" w:rsidRDefault="003D4516" w:rsidP="009C416B">
            <w:pPr>
              <w:rPr>
                <w:sz w:val="18"/>
                <w:szCs w:val="18"/>
                <w:lang w:val="en-GB"/>
              </w:rPr>
            </w:pPr>
            <w:r>
              <w:rPr>
                <w:sz w:val="18"/>
                <w:szCs w:val="18"/>
                <w:lang w:val="en-GB"/>
              </w:rPr>
              <w:t xml:space="preserve">Payment of the Revenue Sharing, calculated as the agreed percentage on the received revenues, as certified in the </w:t>
            </w:r>
            <w:proofErr w:type="gramStart"/>
            <w:r>
              <w:rPr>
                <w:sz w:val="18"/>
                <w:szCs w:val="18"/>
                <w:lang w:val="en-GB"/>
              </w:rPr>
              <w:t>beneficiaries</w:t>
            </w:r>
            <w:proofErr w:type="gramEnd"/>
            <w:r>
              <w:rPr>
                <w:sz w:val="18"/>
                <w:szCs w:val="18"/>
                <w:lang w:val="en-GB"/>
              </w:rPr>
              <w:t xml:space="preserve"> official accounts, will be paid to EIT Food on an annual basis, each year within at least 30 working days after the after the reception of the report, the sworn declaration and the invoice issued by the Exploiting Partner. </w:t>
            </w:r>
          </w:p>
        </w:tc>
      </w:tr>
      <w:tr w:rsidR="003D4516" w14:paraId="22D8081B"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397A45E4" w14:textId="77777777" w:rsidR="003D4516" w:rsidRDefault="003D4516" w:rsidP="009C416B">
            <w:pPr>
              <w:rPr>
                <w:b/>
                <w:bCs/>
                <w:sz w:val="18"/>
                <w:szCs w:val="18"/>
                <w:lang w:val="en-GB"/>
              </w:rPr>
            </w:pPr>
            <w:r>
              <w:rPr>
                <w:b/>
                <w:bCs/>
                <w:sz w:val="18"/>
                <w:szCs w:val="18"/>
                <w:lang w:val="en-GB"/>
              </w:rPr>
              <w:t>Monitoring and payment schedule in other cases</w:t>
            </w:r>
          </w:p>
        </w:tc>
      </w:tr>
      <w:tr w:rsidR="003D4516" w14:paraId="4348F0ED"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hideMark/>
          </w:tcPr>
          <w:p w14:paraId="54BBCA33" w14:textId="77777777" w:rsidR="003D4516" w:rsidRDefault="003D4516" w:rsidP="009C416B">
            <w:pPr>
              <w:rPr>
                <w:sz w:val="18"/>
                <w:szCs w:val="18"/>
                <w:lang w:val="en-GB"/>
              </w:rPr>
            </w:pPr>
            <w:r>
              <w:rPr>
                <w:sz w:val="18"/>
                <w:szCs w:val="18"/>
                <w:lang w:val="en-GB"/>
              </w:rPr>
              <w:t>Not applicable</w:t>
            </w:r>
          </w:p>
        </w:tc>
      </w:tr>
      <w:tr w:rsidR="003D4516" w14:paraId="669D8683"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shd w:val="clear" w:color="auto" w:fill="AEAAAA" w:themeFill="background2" w:themeFillShade="BF"/>
            <w:hideMark/>
          </w:tcPr>
          <w:p w14:paraId="604F8B3D" w14:textId="77777777" w:rsidR="003D4516" w:rsidRDefault="003D4516" w:rsidP="009C416B">
            <w:pPr>
              <w:rPr>
                <w:b/>
                <w:bCs/>
                <w:sz w:val="18"/>
                <w:szCs w:val="18"/>
                <w:lang w:val="en-GB"/>
              </w:rPr>
            </w:pPr>
            <w:r>
              <w:rPr>
                <w:b/>
                <w:bCs/>
                <w:sz w:val="18"/>
                <w:szCs w:val="18"/>
                <w:lang w:val="en-GB"/>
              </w:rPr>
              <w:t>Any additional special clauses</w:t>
            </w:r>
          </w:p>
        </w:tc>
      </w:tr>
      <w:tr w:rsidR="003D4516" w14:paraId="24B339FD"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hideMark/>
          </w:tcPr>
          <w:p w14:paraId="443E4A3F" w14:textId="77777777" w:rsidR="003D4516" w:rsidRDefault="003D4516" w:rsidP="009C416B">
            <w:pPr>
              <w:rPr>
                <w:sz w:val="18"/>
                <w:szCs w:val="18"/>
                <w:lang w:val="en-GB"/>
              </w:rPr>
            </w:pPr>
            <w:r>
              <w:rPr>
                <w:sz w:val="18"/>
                <w:szCs w:val="18"/>
                <w:lang w:val="en-GB"/>
              </w:rPr>
              <w:lastRenderedPageBreak/>
              <w:t>Not applicable</w:t>
            </w:r>
          </w:p>
        </w:tc>
      </w:tr>
      <w:tr w:rsidR="003D4516" w14:paraId="2DFD3390" w14:textId="77777777" w:rsidTr="009C416B">
        <w:trPr>
          <w:trHeight w:val="208"/>
        </w:trPr>
        <w:tc>
          <w:tcPr>
            <w:tcW w:w="10201" w:type="dxa"/>
            <w:gridSpan w:val="15"/>
            <w:tcBorders>
              <w:top w:val="single" w:sz="4" w:space="0" w:color="auto"/>
              <w:left w:val="single" w:sz="4" w:space="0" w:color="auto"/>
              <w:bottom w:val="single" w:sz="4" w:space="0" w:color="auto"/>
              <w:right w:val="single" w:sz="4" w:space="0" w:color="auto"/>
            </w:tcBorders>
          </w:tcPr>
          <w:p w14:paraId="0AC4765B" w14:textId="77777777" w:rsidR="003D4516" w:rsidRDefault="003D4516" w:rsidP="009C416B">
            <w:pPr>
              <w:rPr>
                <w:sz w:val="18"/>
                <w:szCs w:val="18"/>
                <w:lang w:val="en-GB"/>
              </w:rPr>
            </w:pPr>
          </w:p>
        </w:tc>
      </w:tr>
    </w:tbl>
    <w:p w14:paraId="65AFDF1F" w14:textId="77777777" w:rsidR="003D4516" w:rsidRDefault="003D4516" w:rsidP="003D4516"/>
    <w:p w14:paraId="270F90DD" w14:textId="77777777" w:rsidR="003D4516" w:rsidRDefault="003D4516" w:rsidP="003D4516"/>
    <w:p w14:paraId="7251FEE2" w14:textId="77777777" w:rsidR="00CC5A6B" w:rsidRDefault="00CC5A6B"/>
    <w:sectPr w:rsidR="00CC5A6B">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15063D" w14:textId="77777777" w:rsidR="00F46A2B" w:rsidRDefault="00F46A2B">
      <w:pPr>
        <w:spacing w:after="0" w:line="240" w:lineRule="auto"/>
      </w:pPr>
      <w:r>
        <w:separator/>
      </w:r>
    </w:p>
  </w:endnote>
  <w:endnote w:type="continuationSeparator" w:id="0">
    <w:p w14:paraId="17FEF818" w14:textId="77777777" w:rsidR="00F46A2B" w:rsidRDefault="00F4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FBA5" w14:textId="77777777" w:rsidR="009C416B" w:rsidRDefault="009C416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1C85BB37" w14:textId="77777777" w:rsidR="009C416B" w:rsidRDefault="009C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DC94" w14:textId="77777777" w:rsidR="00F46A2B" w:rsidRDefault="00F46A2B">
      <w:pPr>
        <w:spacing w:after="0" w:line="240" w:lineRule="auto"/>
      </w:pPr>
      <w:r>
        <w:separator/>
      </w:r>
    </w:p>
  </w:footnote>
  <w:footnote w:type="continuationSeparator" w:id="0">
    <w:p w14:paraId="6922F297" w14:textId="77777777" w:rsidR="00F46A2B" w:rsidRDefault="00F4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537A4" w14:textId="6EBCB4AB" w:rsidR="009C416B" w:rsidRDefault="009C416B" w:rsidP="009C416B">
    <w:pPr>
      <w:pStyle w:val="Header"/>
    </w:pPr>
    <w:r>
      <w:rPr>
        <w:noProof/>
        <w:color w:val="000000"/>
      </w:rPr>
      <w:drawing>
        <wp:anchor distT="0" distB="0" distL="0" distR="0" simplePos="0" relativeHeight="251658240" behindDoc="0" locked="0" layoutInCell="1" hidden="0" allowOverlap="1" wp14:anchorId="35185CF3" wp14:editId="15CB95E9">
          <wp:simplePos x="0" y="0"/>
          <wp:positionH relativeFrom="page">
            <wp:posOffset>902526</wp:posOffset>
          </wp:positionH>
          <wp:positionV relativeFrom="topMargin">
            <wp:posOffset>397823</wp:posOffset>
          </wp:positionV>
          <wp:extent cx="1579418" cy="787019"/>
          <wp:effectExtent l="0" t="0" r="0" b="0"/>
          <wp:wrapSquare wrapText="bothSides" distT="0" distB="0" distL="0" distR="0"/>
          <wp:docPr id="3" name="image1.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1.jpg" descr="A picture containing text, clipart&#10;&#10;Description automatically generated"/>
                  <pic:cNvPicPr preferRelativeResize="0"/>
                </pic:nvPicPr>
                <pic:blipFill>
                  <a:blip r:embed="rId1"/>
                  <a:srcRect/>
                  <a:stretch>
                    <a:fillRect/>
                  </a:stretch>
                </pic:blipFill>
                <pic:spPr>
                  <a:xfrm>
                    <a:off x="0" y="0"/>
                    <a:ext cx="1583847" cy="789226"/>
                  </a:xfrm>
                  <a:prstGeom prst="rect">
                    <a:avLst/>
                  </a:prstGeom>
                  <a:ln/>
                </pic:spPr>
              </pic:pic>
            </a:graphicData>
          </a:graphic>
          <wp14:sizeRelH relativeFrom="margin">
            <wp14:pctWidth>0</wp14:pctWidth>
          </wp14:sizeRelH>
          <wp14:sizeRelV relativeFrom="margin">
            <wp14:pctHeight>0</wp14:pctHeight>
          </wp14:sizeRelV>
        </wp:anchor>
      </w:drawing>
    </w:r>
    <w:r>
      <w:tab/>
    </w:r>
    <w:r>
      <w:tab/>
    </w:r>
    <w:r w:rsidR="00440D59">
      <w:rPr>
        <w:noProof/>
      </w:rPr>
      <w:drawing>
        <wp:inline distT="0" distB="0" distL="0" distR="0" wp14:anchorId="78ED01C7" wp14:editId="7E483197">
          <wp:extent cx="2764003" cy="621979"/>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9556" cy="625479"/>
                  </a:xfrm>
                  <a:prstGeom prst="rect">
                    <a:avLst/>
                  </a:prstGeom>
                  <a:noFill/>
                  <a:ln>
                    <a:noFill/>
                  </a:ln>
                </pic:spPr>
              </pic:pic>
            </a:graphicData>
          </a:graphic>
        </wp:inline>
      </w:drawing>
    </w:r>
  </w:p>
  <w:p w14:paraId="63A461BF" w14:textId="77777777" w:rsidR="009C416B" w:rsidRDefault="009C416B" w:rsidP="009C416B">
    <w:pPr>
      <w:pStyle w:val="Header"/>
      <w:jc w:val="right"/>
      <w:rPr>
        <w:color w:val="AEAAAA" w:themeColor="background2" w:themeShade="BF"/>
        <w:lang w:val="en-US"/>
      </w:rPr>
    </w:pPr>
  </w:p>
  <w:p w14:paraId="3446CE0E" w14:textId="77777777" w:rsidR="009C416B" w:rsidRPr="00CA681A" w:rsidRDefault="009C416B" w:rsidP="009C416B">
    <w:pPr>
      <w:pStyle w:val="Header"/>
      <w:jc w:val="right"/>
      <w:rPr>
        <w:color w:val="AEAAAA" w:themeColor="background2" w:themeShade="B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7BA12356"/>
    <w:multiLevelType w:val="hybridMultilevel"/>
    <w:tmpl w:val="31AE5A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516"/>
    <w:rsid w:val="0031757D"/>
    <w:rsid w:val="003D4516"/>
    <w:rsid w:val="00440D59"/>
    <w:rsid w:val="009C416B"/>
    <w:rsid w:val="00A54E19"/>
    <w:rsid w:val="00CC5A6B"/>
    <w:rsid w:val="00EB5F58"/>
    <w:rsid w:val="00F11B69"/>
    <w:rsid w:val="00F314AE"/>
    <w:rsid w:val="00F46A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EB416"/>
  <w15:docId w15:val="{27F7068D-67E9-498B-9C17-73488CFC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516"/>
    <w:rPr>
      <w:rFonts w:ascii="Calibri" w:eastAsia="Calibri" w:hAnsi="Calibri" w:cs="Times New Roman"/>
      <w:lang w:val="de-DE"/>
    </w:rPr>
  </w:style>
  <w:style w:type="paragraph" w:styleId="Heading1">
    <w:name w:val="heading 1"/>
    <w:aliases w:val="Article Header"/>
    <w:basedOn w:val="Normal"/>
    <w:next w:val="Normal"/>
    <w:link w:val="Heading1Char"/>
    <w:qFormat/>
    <w:rsid w:val="003D4516"/>
    <w:pPr>
      <w:keepNext/>
      <w:keepLines/>
      <w:spacing w:before="480" w:after="120" w:line="240" w:lineRule="auto"/>
      <w:contextualSpacing/>
      <w:outlineLvl w:val="0"/>
    </w:pPr>
    <w:rPr>
      <w:rFonts w:ascii="Calibri Light" w:eastAsia="Times New Roman" w:hAnsi="Calibri Light"/>
      <w:b/>
      <w:bCs/>
      <w:color w:val="44546A"/>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rticle Header Char"/>
    <w:basedOn w:val="DefaultParagraphFont"/>
    <w:link w:val="Heading1"/>
    <w:rsid w:val="003D4516"/>
    <w:rPr>
      <w:rFonts w:ascii="Calibri Light" w:eastAsia="Times New Roman" w:hAnsi="Calibri Light" w:cs="Times New Roman"/>
      <w:b/>
      <w:bCs/>
      <w:color w:val="44546A"/>
      <w:szCs w:val="28"/>
    </w:rPr>
  </w:style>
  <w:style w:type="paragraph" w:styleId="Title">
    <w:name w:val="Title"/>
    <w:aliases w:val="sub Article Header"/>
    <w:basedOn w:val="TOCHeading"/>
    <w:next w:val="Normal"/>
    <w:link w:val="TitleChar"/>
    <w:uiPriority w:val="10"/>
    <w:qFormat/>
    <w:rsid w:val="003D4516"/>
    <w:pPr>
      <w:spacing w:after="120" w:line="240" w:lineRule="auto"/>
      <w:contextualSpacing/>
    </w:pPr>
    <w:rPr>
      <w:rFonts w:ascii="Calibri Light" w:eastAsia="Times New Roman" w:hAnsi="Calibri Light" w:cs="Times New Roman"/>
      <w:b/>
      <w:bCs/>
      <w:color w:val="44546A"/>
      <w:sz w:val="22"/>
      <w:szCs w:val="28"/>
      <w:lang w:val="en-GB"/>
    </w:rPr>
  </w:style>
  <w:style w:type="character" w:customStyle="1" w:styleId="TitleChar">
    <w:name w:val="Title Char"/>
    <w:aliases w:val="sub Article Header Char"/>
    <w:basedOn w:val="DefaultParagraphFont"/>
    <w:link w:val="Title"/>
    <w:uiPriority w:val="10"/>
    <w:rsid w:val="003D4516"/>
    <w:rPr>
      <w:rFonts w:ascii="Calibri Light" w:eastAsia="Times New Roman" w:hAnsi="Calibri Light" w:cs="Times New Roman"/>
      <w:b/>
      <w:bCs/>
      <w:color w:val="44546A"/>
      <w:szCs w:val="28"/>
    </w:rPr>
  </w:style>
  <w:style w:type="paragraph" w:styleId="Revision">
    <w:name w:val="Revision"/>
    <w:uiPriority w:val="99"/>
    <w:qFormat/>
    <w:rsid w:val="003D4516"/>
    <w:pPr>
      <w:suppressAutoHyphens/>
      <w:spacing w:after="0" w:line="240" w:lineRule="auto"/>
    </w:pPr>
    <w:rPr>
      <w:rFonts w:ascii="Arial" w:eastAsia="SimSun" w:hAnsi="Arial" w:cs="Arial"/>
      <w:b/>
      <w:spacing w:val="-3"/>
      <w:sz w:val="28"/>
      <w:szCs w:val="28"/>
      <w:lang w:eastAsia="ar-SA"/>
    </w:rPr>
  </w:style>
  <w:style w:type="paragraph" w:styleId="ListParagraph">
    <w:name w:val="List Paragraph"/>
    <w:basedOn w:val="Normal"/>
    <w:link w:val="ListParagraphChar"/>
    <w:uiPriority w:val="34"/>
    <w:qFormat/>
    <w:rsid w:val="003D4516"/>
    <w:pPr>
      <w:ind w:left="720"/>
      <w:contextualSpacing/>
    </w:pPr>
  </w:style>
  <w:style w:type="paragraph" w:styleId="Header">
    <w:name w:val="header"/>
    <w:basedOn w:val="Normal"/>
    <w:link w:val="HeaderChar"/>
    <w:uiPriority w:val="99"/>
    <w:unhideWhenUsed/>
    <w:rsid w:val="003D45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D4516"/>
    <w:rPr>
      <w:rFonts w:ascii="Calibri" w:eastAsia="Calibri" w:hAnsi="Calibri" w:cs="Times New Roman"/>
      <w:lang w:val="de-DE"/>
    </w:rPr>
  </w:style>
  <w:style w:type="paragraph" w:styleId="Footer">
    <w:name w:val="footer"/>
    <w:basedOn w:val="Normal"/>
    <w:link w:val="FooterChar"/>
    <w:uiPriority w:val="99"/>
    <w:unhideWhenUsed/>
    <w:rsid w:val="003D45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D4516"/>
    <w:rPr>
      <w:rFonts w:ascii="Calibri" w:eastAsia="Calibri" w:hAnsi="Calibri" w:cs="Times New Roman"/>
      <w:lang w:val="de-DE"/>
    </w:rPr>
  </w:style>
  <w:style w:type="paragraph" w:styleId="NormalWeb">
    <w:name w:val="Normal (Web)"/>
    <w:basedOn w:val="Normal"/>
    <w:uiPriority w:val="99"/>
    <w:qFormat/>
    <w:rsid w:val="003D4516"/>
    <w:pPr>
      <w:spacing w:before="280" w:after="280" w:line="240" w:lineRule="auto"/>
    </w:pPr>
    <w:rPr>
      <w:rFonts w:ascii="Times New Roman" w:eastAsia="Times New Roman" w:hAnsi="Times New Roman"/>
      <w:color w:val="00000A"/>
      <w:sz w:val="24"/>
      <w:szCs w:val="24"/>
      <w:lang w:val="en-US" w:eastAsia="zh-CN"/>
    </w:rPr>
  </w:style>
  <w:style w:type="paragraph" w:customStyle="1" w:styleId="Revisie1">
    <w:name w:val="Revisie1"/>
    <w:link w:val="RevisionChar"/>
    <w:uiPriority w:val="99"/>
    <w:qFormat/>
    <w:rsid w:val="003D4516"/>
    <w:pPr>
      <w:suppressAutoHyphens/>
      <w:spacing w:after="0" w:line="240" w:lineRule="auto"/>
    </w:pPr>
    <w:rPr>
      <w:rFonts w:ascii="Arial" w:eastAsia="SimSun" w:hAnsi="Arial" w:cs="Arial"/>
      <w:b/>
      <w:spacing w:val="-3"/>
      <w:sz w:val="28"/>
      <w:szCs w:val="28"/>
      <w:lang w:eastAsia="ar-SA"/>
    </w:rPr>
  </w:style>
  <w:style w:type="character" w:customStyle="1" w:styleId="RevisionChar">
    <w:name w:val="Revision Char"/>
    <w:link w:val="Revisie1"/>
    <w:uiPriority w:val="99"/>
    <w:rsid w:val="003D4516"/>
    <w:rPr>
      <w:rFonts w:ascii="Arial" w:eastAsia="SimSun" w:hAnsi="Arial" w:cs="Arial"/>
      <w:b/>
      <w:spacing w:val="-3"/>
      <w:sz w:val="28"/>
      <w:szCs w:val="28"/>
      <w:lang w:eastAsia="ar-SA"/>
    </w:rPr>
  </w:style>
  <w:style w:type="character" w:customStyle="1" w:styleId="ListParagraphChar">
    <w:name w:val="List Paragraph Char"/>
    <w:link w:val="ListParagraph"/>
    <w:uiPriority w:val="34"/>
    <w:rsid w:val="003D4516"/>
    <w:rPr>
      <w:rFonts w:ascii="Calibri" w:eastAsia="Calibri" w:hAnsi="Calibri" w:cs="Times New Roman"/>
      <w:lang w:val="de-DE"/>
    </w:rPr>
  </w:style>
  <w:style w:type="paragraph" w:customStyle="1" w:styleId="paragraph">
    <w:name w:val="paragraph"/>
    <w:basedOn w:val="Normal"/>
    <w:rsid w:val="003D4516"/>
    <w:pPr>
      <w:spacing w:after="0" w:line="240" w:lineRule="auto"/>
    </w:pPr>
    <w:rPr>
      <w:rFonts w:ascii="Times New Roman" w:eastAsia="Times New Roman" w:hAnsi="Times New Roman"/>
      <w:sz w:val="24"/>
      <w:szCs w:val="24"/>
      <w:lang w:val="nl-BE" w:eastAsia="nl-BE"/>
    </w:rPr>
  </w:style>
  <w:style w:type="table" w:styleId="TableGrid">
    <w:name w:val="Table Grid"/>
    <w:basedOn w:val="TableNormal"/>
    <w:uiPriority w:val="39"/>
    <w:rsid w:val="003D4516"/>
    <w:pPr>
      <w:spacing w:after="0" w:line="240" w:lineRule="auto"/>
    </w:pPr>
    <w:rPr>
      <w:lang w:val="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D4516"/>
    <w:pPr>
      <w:spacing w:before="240" w:after="0" w:line="259" w:lineRule="auto"/>
      <w:contextualSpacing w:val="0"/>
      <w:outlineLvl w:val="9"/>
    </w:pPr>
    <w:rPr>
      <w:rFonts w:asciiTheme="majorHAnsi" w:eastAsiaTheme="majorEastAsia" w:hAnsiTheme="majorHAnsi" w:cstheme="majorBidi"/>
      <w:b w:val="0"/>
      <w:bCs w:val="0"/>
      <w:color w:val="2F5496" w:themeColor="accent1" w:themeShade="BF"/>
      <w:sz w:val="32"/>
      <w:szCs w:val="3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3155</Words>
  <Characters>17985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Romero Ortega</dc:creator>
  <cp:keywords/>
  <dc:description/>
  <cp:lastModifiedBy>Linn Vande Populiere</cp:lastModifiedBy>
  <cp:revision>2</cp:revision>
  <dcterms:created xsi:type="dcterms:W3CDTF">2021-11-05T14:08:00Z</dcterms:created>
  <dcterms:modified xsi:type="dcterms:W3CDTF">2021-11-05T14:08:00Z</dcterms:modified>
</cp:coreProperties>
</file>