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EBBD" w14:textId="40A3ADA4" w:rsidR="00F26EF9" w:rsidRPr="00A73E6C" w:rsidRDefault="00F26EF9" w:rsidP="00F26EF9">
      <w:pPr>
        <w:rPr>
          <w:rFonts w:cstheme="minorHAnsi"/>
        </w:rPr>
      </w:pPr>
      <w:bookmarkStart w:id="0" w:name="_Hlk79433848"/>
    </w:p>
    <w:p w14:paraId="727B8CEC" w14:textId="5A77CA95" w:rsidR="00F26EF9" w:rsidRPr="00A73E6C" w:rsidRDefault="00F26EF9" w:rsidP="00F26EF9">
      <w:pPr>
        <w:rPr>
          <w:rFonts w:cstheme="minorHAnsi"/>
        </w:rPr>
      </w:pPr>
    </w:p>
    <w:p w14:paraId="08DA1CB8" w14:textId="62493B8D" w:rsidR="00F26EF9" w:rsidRPr="00A73E6C" w:rsidRDefault="00325998" w:rsidP="00325998">
      <w:pPr>
        <w:jc w:val="center"/>
        <w:rPr>
          <w:rFonts w:cstheme="minorHAnsi"/>
        </w:rPr>
      </w:pPr>
      <w:r>
        <w:rPr>
          <w:noProof/>
        </w:rPr>
        <w:drawing>
          <wp:inline distT="0" distB="0" distL="0" distR="0" wp14:anchorId="2E7E7B4C" wp14:editId="454CDBBD">
            <wp:extent cx="5220337" cy="939509"/>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220337" cy="939509"/>
                    </a:xfrm>
                    <a:prstGeom prst="rect">
                      <a:avLst/>
                    </a:prstGeom>
                  </pic:spPr>
                </pic:pic>
              </a:graphicData>
            </a:graphic>
          </wp:inline>
        </w:drawing>
      </w:r>
    </w:p>
    <w:p w14:paraId="328C705F" w14:textId="77777777" w:rsidR="00F26EF9" w:rsidRPr="00A73E6C" w:rsidRDefault="00F26EF9" w:rsidP="00F26EF9">
      <w:pPr>
        <w:rPr>
          <w:rFonts w:cstheme="minorHAnsi"/>
        </w:rPr>
      </w:pPr>
    </w:p>
    <w:p w14:paraId="50BFC8D3" w14:textId="77777777" w:rsidR="00F26EF9" w:rsidRPr="00A73E6C" w:rsidRDefault="00F26EF9" w:rsidP="00F26EF9">
      <w:pPr>
        <w:rPr>
          <w:rFonts w:cstheme="minorHAnsi"/>
        </w:rPr>
      </w:pPr>
    </w:p>
    <w:p w14:paraId="68881819" w14:textId="77777777" w:rsidR="00F26EF9" w:rsidRPr="00A73E6C" w:rsidRDefault="00F26EF9" w:rsidP="00F26EF9">
      <w:pPr>
        <w:rPr>
          <w:rFonts w:cstheme="minorHAnsi"/>
        </w:rPr>
      </w:pPr>
    </w:p>
    <w:p w14:paraId="481161EE" w14:textId="77777777" w:rsidR="00F26EF9" w:rsidRPr="00A73E6C" w:rsidRDefault="00F26EF9" w:rsidP="00F26EF9">
      <w:pPr>
        <w:rPr>
          <w:rFonts w:cstheme="minorHAnsi"/>
        </w:rPr>
      </w:pPr>
    </w:p>
    <w:p w14:paraId="5DE6C20C" w14:textId="77777777" w:rsidR="00F26EF9" w:rsidRPr="00A73E6C" w:rsidRDefault="00F26EF9" w:rsidP="00F26EF9">
      <w:pPr>
        <w:rPr>
          <w:rFonts w:cstheme="minorHAnsi"/>
        </w:rPr>
      </w:pPr>
    </w:p>
    <w:p w14:paraId="78AF3759" w14:textId="5EF55384" w:rsidR="00F26EF9" w:rsidRPr="0081797A" w:rsidRDefault="007109B8" w:rsidP="00F26EF9">
      <w:pPr>
        <w:jc w:val="center"/>
        <w:rPr>
          <w:rFonts w:cstheme="minorHAnsi"/>
          <w:b/>
          <w:bCs/>
          <w:color w:val="4472C4" w:themeColor="accent1"/>
          <w:sz w:val="36"/>
          <w:szCs w:val="36"/>
        </w:rPr>
      </w:pPr>
      <w:r>
        <w:rPr>
          <w:rFonts w:cstheme="minorHAnsi"/>
          <w:b/>
          <w:bCs/>
          <w:color w:val="4472C4" w:themeColor="accent1"/>
          <w:sz w:val="36"/>
          <w:szCs w:val="36"/>
        </w:rPr>
        <w:t xml:space="preserve">2024 </w:t>
      </w:r>
      <w:r w:rsidR="0081797A" w:rsidRPr="0081797A">
        <w:rPr>
          <w:rFonts w:cstheme="minorHAnsi"/>
          <w:b/>
          <w:bCs/>
          <w:color w:val="4472C4" w:themeColor="accent1"/>
          <w:sz w:val="36"/>
          <w:szCs w:val="36"/>
        </w:rPr>
        <w:t>FAST TRACK TO MARKET INITIATIVE</w:t>
      </w:r>
    </w:p>
    <w:p w14:paraId="74EB4E3C" w14:textId="74675B6A" w:rsidR="00F26EF9" w:rsidRPr="00A73E6C" w:rsidRDefault="00F26EF9" w:rsidP="00F26EF9">
      <w:pPr>
        <w:jc w:val="center"/>
        <w:rPr>
          <w:rFonts w:cstheme="minorHAnsi"/>
          <w:b/>
          <w:bCs/>
          <w:color w:val="4472C4" w:themeColor="accent1"/>
        </w:rPr>
      </w:pPr>
      <w:r w:rsidRPr="00A73E6C">
        <w:rPr>
          <w:rFonts w:cstheme="minorHAnsi"/>
          <w:b/>
          <w:bCs/>
          <w:color w:val="4472C4" w:themeColor="accent1"/>
        </w:rPr>
        <w:t xml:space="preserve">Request for </w:t>
      </w:r>
      <w:r w:rsidR="007854AA">
        <w:rPr>
          <w:rFonts w:cstheme="minorHAnsi"/>
          <w:b/>
          <w:bCs/>
          <w:color w:val="4472C4" w:themeColor="accent1"/>
        </w:rPr>
        <w:t>Implementing Participants</w:t>
      </w:r>
    </w:p>
    <w:p w14:paraId="02254C36" w14:textId="77777777" w:rsidR="00F26EF9" w:rsidRPr="00A73E6C" w:rsidRDefault="00F26EF9" w:rsidP="00F26EF9">
      <w:pPr>
        <w:jc w:val="center"/>
        <w:rPr>
          <w:rFonts w:cstheme="minorHAnsi"/>
          <w:b/>
          <w:bCs/>
          <w:color w:val="4472C4" w:themeColor="accent1"/>
          <w:u w:val="single"/>
        </w:rPr>
      </w:pPr>
      <w:r w:rsidRPr="00A73E6C">
        <w:rPr>
          <w:rFonts w:cstheme="minorHAnsi"/>
          <w:b/>
          <w:bCs/>
          <w:color w:val="4472C4" w:themeColor="accent1"/>
          <w:u w:val="single"/>
        </w:rPr>
        <w:t>Guidelines</w:t>
      </w:r>
    </w:p>
    <w:p w14:paraId="6BE96332" w14:textId="77777777" w:rsidR="00F26EF9" w:rsidRPr="00A73E6C" w:rsidRDefault="00F26EF9" w:rsidP="00F26EF9">
      <w:pPr>
        <w:rPr>
          <w:rFonts w:cstheme="minorHAnsi"/>
          <w:b/>
          <w:bCs/>
          <w:color w:val="4472C4" w:themeColor="accent1"/>
        </w:rPr>
      </w:pPr>
    </w:p>
    <w:p w14:paraId="738F5C1D" w14:textId="77777777" w:rsidR="00F26EF9" w:rsidRPr="00A73E6C" w:rsidRDefault="00F26EF9" w:rsidP="00F26EF9">
      <w:pPr>
        <w:rPr>
          <w:rFonts w:cstheme="minorHAnsi"/>
          <w:b/>
          <w:bCs/>
          <w:color w:val="4472C4" w:themeColor="accent1"/>
        </w:rPr>
      </w:pPr>
    </w:p>
    <w:p w14:paraId="3F0E4E40" w14:textId="77777777" w:rsidR="00866579" w:rsidRDefault="00866579" w:rsidP="00F26EF9">
      <w:pPr>
        <w:rPr>
          <w:rFonts w:cstheme="minorHAnsi"/>
        </w:rPr>
      </w:pPr>
    </w:p>
    <w:p w14:paraId="0CBCF8C9" w14:textId="77777777" w:rsidR="00866579" w:rsidRDefault="00866579" w:rsidP="00F26EF9">
      <w:pPr>
        <w:rPr>
          <w:rFonts w:cstheme="minorHAnsi"/>
        </w:rPr>
      </w:pPr>
    </w:p>
    <w:p w14:paraId="6341F9EC" w14:textId="77777777" w:rsidR="00866579" w:rsidRDefault="00866579" w:rsidP="00F26EF9">
      <w:pPr>
        <w:rPr>
          <w:rFonts w:cstheme="minorHAnsi"/>
        </w:rPr>
      </w:pPr>
    </w:p>
    <w:p w14:paraId="134C1D35" w14:textId="7B35964B" w:rsidR="00866579" w:rsidRPr="002A5578" w:rsidRDefault="00900BE7" w:rsidP="002A5578">
      <w:pPr>
        <w:spacing w:line="0" w:lineRule="atLeast"/>
        <w:ind w:left="260"/>
        <w:rPr>
          <w:rFonts w:ascii="Calibri Light" w:eastAsia="Calibri Light" w:hAnsi="Calibri Light"/>
          <w:b/>
          <w:bCs/>
          <w:color w:val="333333"/>
          <w:sz w:val="28"/>
          <w:szCs w:val="28"/>
        </w:rPr>
      </w:pPr>
      <w:r w:rsidRPr="49727867">
        <w:rPr>
          <w:rFonts w:ascii="Calibri Light" w:eastAsia="Calibri Light" w:hAnsi="Calibri Light"/>
          <w:b/>
          <w:bCs/>
          <w:color w:val="333333"/>
          <w:sz w:val="28"/>
          <w:szCs w:val="28"/>
        </w:rPr>
        <w:t>EIT FOOD</w:t>
      </w:r>
    </w:p>
    <w:p w14:paraId="008A89D0" w14:textId="77777777" w:rsidR="00866579" w:rsidRDefault="00866579" w:rsidP="00F26EF9">
      <w:pPr>
        <w:rPr>
          <w:rFonts w:cstheme="minorHAnsi"/>
        </w:rPr>
      </w:pPr>
    </w:p>
    <w:p w14:paraId="66A43515" w14:textId="77777777" w:rsidR="00866579" w:rsidRDefault="00866579" w:rsidP="00F26EF9">
      <w:pPr>
        <w:rPr>
          <w:rFonts w:cstheme="minorHAnsi"/>
        </w:rPr>
      </w:pPr>
    </w:p>
    <w:p w14:paraId="2F18D346" w14:textId="77777777" w:rsidR="00866579" w:rsidRDefault="00866579" w:rsidP="00F26EF9">
      <w:pPr>
        <w:rPr>
          <w:rFonts w:cstheme="minorHAnsi"/>
        </w:rPr>
      </w:pPr>
    </w:p>
    <w:p w14:paraId="214836B4" w14:textId="77777777" w:rsidR="00866579" w:rsidRDefault="00866579" w:rsidP="00F26EF9">
      <w:pPr>
        <w:rPr>
          <w:rFonts w:cstheme="minorHAnsi"/>
        </w:rPr>
      </w:pPr>
    </w:p>
    <w:p w14:paraId="7CD0D884" w14:textId="77777777" w:rsidR="00D94044" w:rsidRDefault="00D94044" w:rsidP="00D94044">
      <w:pPr>
        <w:spacing w:line="0" w:lineRule="atLeast"/>
        <w:ind w:firstLine="260"/>
        <w:rPr>
          <w:rFonts w:ascii="Calibri Light" w:eastAsia="Calibri Light" w:hAnsi="Calibri Light"/>
          <w:color w:val="333333"/>
        </w:rPr>
      </w:pPr>
      <w:r>
        <w:rPr>
          <w:rFonts w:ascii="Calibri Light" w:eastAsia="Calibri Light" w:hAnsi="Calibri Light"/>
          <w:color w:val="333333"/>
        </w:rPr>
        <w:t>Leuven, Belgium</w:t>
      </w:r>
      <w:r>
        <w:rPr>
          <w:rFonts w:ascii="Calibri Light" w:eastAsia="Calibri Light" w:hAnsi="Calibri Light"/>
          <w:color w:val="333333"/>
          <w:sz w:val="18"/>
          <w:szCs w:val="18"/>
        </w:rPr>
        <w:t xml:space="preserve"> </w:t>
      </w:r>
      <w:r>
        <w:rPr>
          <w:rFonts w:ascii="Calibri Light" w:eastAsia="Calibri Light" w:hAnsi="Calibri Light"/>
          <w:color w:val="333333"/>
        </w:rPr>
        <w:t xml:space="preserve"> </w:t>
      </w:r>
    </w:p>
    <w:p w14:paraId="730F3DC1" w14:textId="3EDF4906" w:rsidR="00D94044" w:rsidRDefault="00D94044" w:rsidP="00D94044">
      <w:pPr>
        <w:spacing w:line="0" w:lineRule="atLeast"/>
        <w:ind w:left="260"/>
        <w:rPr>
          <w:rFonts w:ascii="Calibri Light" w:eastAsia="Calibri Light" w:hAnsi="Calibri Light"/>
          <w:color w:val="333333"/>
        </w:rPr>
      </w:pPr>
      <w:r>
        <w:rPr>
          <w:rFonts w:ascii="Calibri Light" w:eastAsia="Calibri Light" w:hAnsi="Calibri Light"/>
          <w:color w:val="333333"/>
        </w:rPr>
        <w:t>February 2024</w:t>
      </w:r>
    </w:p>
    <w:p w14:paraId="0E682C85" w14:textId="31164F12" w:rsidR="008660B3" w:rsidRDefault="008660B3" w:rsidP="00D94044">
      <w:pPr>
        <w:spacing w:line="0" w:lineRule="atLeast"/>
        <w:ind w:left="260"/>
        <w:rPr>
          <w:rFonts w:ascii="Calibri Light" w:eastAsia="Calibri Light" w:hAnsi="Calibri Light"/>
          <w:color w:val="FF0000"/>
        </w:rPr>
      </w:pPr>
      <w:r>
        <w:rPr>
          <w:rFonts w:ascii="Calibri Light" w:eastAsia="Calibri Light" w:hAnsi="Calibri Light"/>
          <w:color w:val="FF0000"/>
        </w:rPr>
        <w:t>Version 1.1</w:t>
      </w:r>
    </w:p>
    <w:p w14:paraId="17014147" w14:textId="0E4529FB" w:rsidR="00360259" w:rsidRPr="00360259" w:rsidRDefault="00360259" w:rsidP="00D94044">
      <w:pPr>
        <w:spacing w:line="0" w:lineRule="atLeast"/>
        <w:ind w:left="260"/>
        <w:rPr>
          <w:rFonts w:ascii="Calibri Light" w:eastAsia="Calibri Light" w:hAnsi="Calibri Light"/>
          <w:color w:val="FF0000"/>
        </w:rPr>
      </w:pPr>
      <w:r>
        <w:rPr>
          <w:rFonts w:ascii="Calibri Light" w:eastAsia="Calibri Light" w:hAnsi="Calibri Light"/>
          <w:color w:val="FF0000"/>
        </w:rPr>
        <w:t>Amended 15 February 2024</w:t>
      </w:r>
    </w:p>
    <w:p w14:paraId="2AC1146B" w14:textId="77777777" w:rsidR="00D94044" w:rsidRDefault="00D94044" w:rsidP="00D94044">
      <w:pPr>
        <w:spacing w:line="353" w:lineRule="exact"/>
        <w:rPr>
          <w:rFonts w:ascii="Times New Roman" w:eastAsia="Times New Roman" w:hAnsi="Times New Roman"/>
          <w:sz w:val="24"/>
        </w:rPr>
      </w:pPr>
    </w:p>
    <w:p w14:paraId="4C3917B9" w14:textId="77777777" w:rsidR="00D94044" w:rsidRPr="001D74FB" w:rsidRDefault="00D94044" w:rsidP="00D94044">
      <w:pPr>
        <w:spacing w:line="0" w:lineRule="atLeast"/>
        <w:ind w:left="260"/>
        <w:rPr>
          <w:rFonts w:ascii="Calibri Light" w:eastAsia="Calibri Light" w:hAnsi="Calibri Light"/>
          <w:b/>
          <w:bCs/>
          <w:color w:val="333333"/>
          <w:sz w:val="24"/>
          <w:szCs w:val="24"/>
        </w:rPr>
      </w:pPr>
      <w:r w:rsidRPr="04A85903">
        <w:rPr>
          <w:rFonts w:ascii="Calibri Light" w:eastAsia="Calibri Light" w:hAnsi="Calibri Light"/>
          <w:b/>
          <w:bCs/>
          <w:color w:val="333333"/>
          <w:sz w:val="24"/>
          <w:szCs w:val="24"/>
        </w:rPr>
        <w:t>Eitfood.eu</w:t>
      </w:r>
    </w:p>
    <w:p w14:paraId="256AA84D" w14:textId="77777777" w:rsidR="00F26EF9" w:rsidRPr="00A73E6C" w:rsidRDefault="00F26EF9" w:rsidP="00F26EF9">
      <w:pPr>
        <w:rPr>
          <w:rFonts w:cstheme="minorHAnsi"/>
        </w:rPr>
      </w:pPr>
    </w:p>
    <w:p w14:paraId="0571FF6A" w14:textId="77777777" w:rsidR="00F26EF9" w:rsidRPr="00A73E6C" w:rsidRDefault="00F26EF9" w:rsidP="00F26EF9">
      <w:pPr>
        <w:rPr>
          <w:rFonts w:cstheme="minorHAnsi"/>
        </w:rPr>
      </w:pPr>
    </w:p>
    <w:p w14:paraId="016040EE" w14:textId="185B62F1" w:rsidR="00F26EF9" w:rsidRPr="00A812B6" w:rsidRDefault="008660B3" w:rsidP="00F26EF9">
      <w:pPr>
        <w:rPr>
          <w:rFonts w:cstheme="minorHAnsi"/>
          <w:b/>
          <w:bCs/>
          <w:color w:val="000000" w:themeColor="text1"/>
        </w:rPr>
      </w:pPr>
      <w:r w:rsidRPr="00A812B6">
        <w:rPr>
          <w:rFonts w:cstheme="minorHAnsi"/>
          <w:b/>
          <w:bCs/>
          <w:color w:val="000000" w:themeColor="text1"/>
        </w:rPr>
        <w:lastRenderedPageBreak/>
        <w:t>History of Changes:</w:t>
      </w:r>
    </w:p>
    <w:tbl>
      <w:tblPr>
        <w:tblStyle w:val="TableGrid"/>
        <w:tblW w:w="0" w:type="auto"/>
        <w:tblLook w:val="04A0" w:firstRow="1" w:lastRow="0" w:firstColumn="1" w:lastColumn="0" w:noHBand="0" w:noVBand="1"/>
      </w:tblPr>
      <w:tblGrid>
        <w:gridCol w:w="1885"/>
        <w:gridCol w:w="2700"/>
        <w:gridCol w:w="5468"/>
      </w:tblGrid>
      <w:tr w:rsidR="008660B3" w14:paraId="3673874C" w14:textId="77777777" w:rsidTr="008660B3">
        <w:tc>
          <w:tcPr>
            <w:tcW w:w="1885" w:type="dxa"/>
          </w:tcPr>
          <w:p w14:paraId="54D2FE0C" w14:textId="2952D995" w:rsidR="008660B3" w:rsidRPr="008660B3" w:rsidRDefault="008660B3" w:rsidP="008660B3">
            <w:pPr>
              <w:jc w:val="center"/>
              <w:rPr>
                <w:rFonts w:cstheme="minorHAnsi"/>
                <w:b/>
                <w:bCs/>
                <w:color w:val="000000" w:themeColor="text1"/>
              </w:rPr>
            </w:pPr>
            <w:r w:rsidRPr="008660B3">
              <w:rPr>
                <w:rFonts w:cstheme="minorHAnsi"/>
                <w:b/>
                <w:bCs/>
                <w:color w:val="000000" w:themeColor="text1"/>
              </w:rPr>
              <w:t>Version</w:t>
            </w:r>
          </w:p>
        </w:tc>
        <w:tc>
          <w:tcPr>
            <w:tcW w:w="2700" w:type="dxa"/>
          </w:tcPr>
          <w:p w14:paraId="3D68F797" w14:textId="56A65692" w:rsidR="008660B3" w:rsidRPr="008660B3" w:rsidRDefault="008660B3" w:rsidP="008660B3">
            <w:pPr>
              <w:jc w:val="center"/>
              <w:rPr>
                <w:rFonts w:cstheme="minorHAnsi"/>
                <w:b/>
                <w:bCs/>
                <w:color w:val="000000" w:themeColor="text1"/>
              </w:rPr>
            </w:pPr>
            <w:r w:rsidRPr="008660B3">
              <w:rPr>
                <w:rFonts w:cstheme="minorHAnsi"/>
                <w:b/>
                <w:bCs/>
                <w:color w:val="000000" w:themeColor="text1"/>
              </w:rPr>
              <w:t>Publication Date</w:t>
            </w:r>
          </w:p>
        </w:tc>
        <w:tc>
          <w:tcPr>
            <w:tcW w:w="5468" w:type="dxa"/>
          </w:tcPr>
          <w:p w14:paraId="7EEF1E8A" w14:textId="13DFCEFE" w:rsidR="008660B3" w:rsidRPr="008660B3" w:rsidRDefault="008660B3" w:rsidP="008660B3">
            <w:pPr>
              <w:jc w:val="center"/>
              <w:rPr>
                <w:rFonts w:cstheme="minorHAnsi"/>
                <w:b/>
                <w:bCs/>
                <w:color w:val="000000" w:themeColor="text1"/>
              </w:rPr>
            </w:pPr>
            <w:r w:rsidRPr="008660B3">
              <w:rPr>
                <w:rFonts w:cstheme="minorHAnsi"/>
                <w:b/>
                <w:bCs/>
                <w:color w:val="000000" w:themeColor="text1"/>
              </w:rPr>
              <w:t>Changes</w:t>
            </w:r>
          </w:p>
        </w:tc>
      </w:tr>
      <w:tr w:rsidR="008660B3" w14:paraId="5D18F0E8" w14:textId="77777777" w:rsidTr="008660B3">
        <w:tc>
          <w:tcPr>
            <w:tcW w:w="1885" w:type="dxa"/>
          </w:tcPr>
          <w:p w14:paraId="091A4F7F" w14:textId="0E3AAD79" w:rsidR="008660B3" w:rsidRDefault="008660B3" w:rsidP="00F26EF9">
            <w:pPr>
              <w:rPr>
                <w:rFonts w:cstheme="minorHAnsi"/>
                <w:color w:val="000000" w:themeColor="text1"/>
              </w:rPr>
            </w:pPr>
            <w:r>
              <w:rPr>
                <w:rFonts w:cstheme="minorHAnsi"/>
                <w:color w:val="000000" w:themeColor="text1"/>
              </w:rPr>
              <w:t>Version 1.0</w:t>
            </w:r>
          </w:p>
        </w:tc>
        <w:tc>
          <w:tcPr>
            <w:tcW w:w="2700" w:type="dxa"/>
          </w:tcPr>
          <w:p w14:paraId="5168694B" w14:textId="62C606EC" w:rsidR="008660B3" w:rsidRDefault="008660B3" w:rsidP="00F26EF9">
            <w:pPr>
              <w:rPr>
                <w:rFonts w:cstheme="minorHAnsi"/>
                <w:color w:val="000000" w:themeColor="text1"/>
              </w:rPr>
            </w:pPr>
            <w:r>
              <w:rPr>
                <w:rFonts w:cstheme="minorHAnsi"/>
                <w:color w:val="000000" w:themeColor="text1"/>
              </w:rPr>
              <w:t>7 February 2024</w:t>
            </w:r>
          </w:p>
        </w:tc>
        <w:tc>
          <w:tcPr>
            <w:tcW w:w="5468" w:type="dxa"/>
          </w:tcPr>
          <w:p w14:paraId="2D9C37E4" w14:textId="46F6799C" w:rsidR="008660B3" w:rsidRDefault="008660B3" w:rsidP="00F26EF9">
            <w:pPr>
              <w:rPr>
                <w:rFonts w:cstheme="minorHAnsi"/>
                <w:color w:val="000000" w:themeColor="text1"/>
              </w:rPr>
            </w:pPr>
            <w:r>
              <w:rPr>
                <w:rFonts w:cstheme="minorHAnsi"/>
                <w:color w:val="000000" w:themeColor="text1"/>
              </w:rPr>
              <w:t>Original version</w:t>
            </w:r>
          </w:p>
        </w:tc>
      </w:tr>
      <w:tr w:rsidR="008660B3" w14:paraId="4FD8610E" w14:textId="77777777" w:rsidTr="008660B3">
        <w:tc>
          <w:tcPr>
            <w:tcW w:w="1885" w:type="dxa"/>
          </w:tcPr>
          <w:p w14:paraId="7D144E27" w14:textId="718DC417" w:rsidR="008660B3" w:rsidRDefault="008660B3" w:rsidP="00F26EF9">
            <w:pPr>
              <w:rPr>
                <w:rFonts w:cstheme="minorHAnsi"/>
                <w:color w:val="000000" w:themeColor="text1"/>
              </w:rPr>
            </w:pPr>
            <w:r>
              <w:rPr>
                <w:rFonts w:cstheme="minorHAnsi"/>
                <w:color w:val="000000" w:themeColor="text1"/>
              </w:rPr>
              <w:t>Version 1.1</w:t>
            </w:r>
          </w:p>
        </w:tc>
        <w:tc>
          <w:tcPr>
            <w:tcW w:w="2700" w:type="dxa"/>
          </w:tcPr>
          <w:p w14:paraId="0F07309F" w14:textId="2FB9CB7E" w:rsidR="008660B3" w:rsidRDefault="008660B3" w:rsidP="00F26EF9">
            <w:pPr>
              <w:rPr>
                <w:rFonts w:cstheme="minorHAnsi"/>
                <w:color w:val="000000" w:themeColor="text1"/>
              </w:rPr>
            </w:pPr>
            <w:r>
              <w:rPr>
                <w:rFonts w:cstheme="minorHAnsi"/>
                <w:color w:val="000000" w:themeColor="text1"/>
              </w:rPr>
              <w:t xml:space="preserve">15 </w:t>
            </w:r>
            <w:r w:rsidR="005F7970">
              <w:rPr>
                <w:rFonts w:cstheme="minorHAnsi"/>
                <w:color w:val="000000" w:themeColor="text1"/>
              </w:rPr>
              <w:t>February</w:t>
            </w:r>
            <w:r>
              <w:rPr>
                <w:rFonts w:cstheme="minorHAnsi"/>
                <w:color w:val="000000" w:themeColor="text1"/>
              </w:rPr>
              <w:t xml:space="preserve"> 2024</w:t>
            </w:r>
          </w:p>
        </w:tc>
        <w:tc>
          <w:tcPr>
            <w:tcW w:w="5468" w:type="dxa"/>
          </w:tcPr>
          <w:p w14:paraId="0FF1961A" w14:textId="165D9647" w:rsidR="008660B3" w:rsidRDefault="005F7970" w:rsidP="00F26EF9">
            <w:pPr>
              <w:rPr>
                <w:rFonts w:cstheme="minorHAnsi"/>
                <w:color w:val="000000" w:themeColor="text1"/>
              </w:rPr>
            </w:pPr>
            <w:r>
              <w:rPr>
                <w:rFonts w:cstheme="minorHAnsi"/>
                <w:color w:val="000000" w:themeColor="text1"/>
              </w:rPr>
              <w:t xml:space="preserve">Sections 1.1 and 6.1 </w:t>
            </w:r>
            <w:r w:rsidR="00A97651">
              <w:rPr>
                <w:rFonts w:cstheme="minorHAnsi"/>
                <w:color w:val="000000" w:themeColor="text1"/>
              </w:rPr>
              <w:t xml:space="preserve">eligibility criteria corrected an error which now </w:t>
            </w:r>
            <w:r w:rsidR="00814DDA">
              <w:rPr>
                <w:rFonts w:cstheme="minorHAnsi"/>
                <w:color w:val="000000" w:themeColor="text1"/>
              </w:rPr>
              <w:t xml:space="preserve">correctly </w:t>
            </w:r>
            <w:r w:rsidR="00A97651">
              <w:rPr>
                <w:rFonts w:cstheme="minorHAnsi"/>
                <w:color w:val="000000" w:themeColor="text1"/>
              </w:rPr>
              <w:t xml:space="preserve">reads: </w:t>
            </w:r>
          </w:p>
          <w:p w14:paraId="31DAE5E8" w14:textId="77777777" w:rsidR="00A97651" w:rsidRDefault="00A97651" w:rsidP="00F26EF9">
            <w:pPr>
              <w:rPr>
                <w:rFonts w:cstheme="minorHAnsi"/>
                <w:color w:val="000000" w:themeColor="text1"/>
              </w:rPr>
            </w:pPr>
          </w:p>
          <w:p w14:paraId="3B28C4C6" w14:textId="77777777" w:rsidR="00A97651" w:rsidRDefault="00A97651" w:rsidP="00A97651">
            <w:pPr>
              <w:pStyle w:val="ListParagraph"/>
              <w:numPr>
                <w:ilvl w:val="0"/>
                <w:numId w:val="11"/>
              </w:numPr>
              <w:rPr>
                <w:rFonts w:ascii="Calibri" w:eastAsia="Calibri" w:hAnsi="Calibri" w:cs="Calibri"/>
                <w:color w:val="000000" w:themeColor="text1"/>
              </w:rPr>
            </w:pPr>
            <w:r>
              <w:t>Be a </w:t>
            </w:r>
            <w:hyperlink r:id="rId12" w:history="1">
              <w:r w:rsidRPr="008E2EB0">
                <w:rPr>
                  <w:rStyle w:val="Hyperlink"/>
                  <w:u w:val="single"/>
                </w:rPr>
                <w:t>SMALL sized company</w:t>
              </w:r>
            </w:hyperlink>
            <w:r>
              <w:t> as defined in the </w:t>
            </w:r>
            <w:hyperlink r:id="rId13" w:history="1">
              <w:r w:rsidRPr="008E2EB0">
                <w:rPr>
                  <w:rStyle w:val="Hyperlink"/>
                  <w:u w:val="single"/>
                </w:rPr>
                <w:t>EU recommendation 2003/361</w:t>
              </w:r>
            </w:hyperlink>
            <w:r>
              <w:t> (between 3 and 49 employees and less than 10 million turnover or balance sheet).</w:t>
            </w:r>
          </w:p>
          <w:p w14:paraId="265C39F9" w14:textId="77777777" w:rsidR="00A97651" w:rsidRDefault="00A97651" w:rsidP="00F26EF9">
            <w:pPr>
              <w:rPr>
                <w:rFonts w:cstheme="minorHAnsi"/>
                <w:color w:val="000000" w:themeColor="text1"/>
              </w:rPr>
            </w:pPr>
          </w:p>
          <w:p w14:paraId="21E10062" w14:textId="35B2C5D5" w:rsidR="00A97651" w:rsidRDefault="00A97651" w:rsidP="00F26EF9">
            <w:pPr>
              <w:rPr>
                <w:rFonts w:cstheme="minorHAnsi"/>
                <w:color w:val="000000" w:themeColor="text1"/>
              </w:rPr>
            </w:pPr>
          </w:p>
        </w:tc>
      </w:tr>
    </w:tbl>
    <w:p w14:paraId="04EF64A9" w14:textId="77777777" w:rsidR="008660B3" w:rsidRPr="008660B3" w:rsidRDefault="008660B3" w:rsidP="00F26EF9">
      <w:pPr>
        <w:rPr>
          <w:rFonts w:cstheme="minorHAnsi"/>
          <w:color w:val="000000" w:themeColor="text1"/>
        </w:rPr>
      </w:pPr>
    </w:p>
    <w:p w14:paraId="64A79F82" w14:textId="77777777" w:rsidR="00F26EF9" w:rsidRPr="00A73E6C" w:rsidRDefault="00F26EF9" w:rsidP="00F26EF9">
      <w:pPr>
        <w:rPr>
          <w:rFonts w:cstheme="minorHAnsi"/>
        </w:rPr>
      </w:pPr>
    </w:p>
    <w:p w14:paraId="2245BB2B" w14:textId="77777777" w:rsidR="00F26EF9" w:rsidRPr="00A73E6C" w:rsidRDefault="00F26EF9" w:rsidP="00F26EF9">
      <w:pPr>
        <w:rPr>
          <w:rFonts w:cstheme="minorHAnsi"/>
        </w:rPr>
      </w:pPr>
      <w:r w:rsidRPr="00A73E6C">
        <w:rPr>
          <w:rFonts w:cstheme="minorHAnsi"/>
        </w:rPr>
        <w:br w:type="page"/>
      </w:r>
      <w:bookmarkStart w:id="1" w:name="_Toc531794670"/>
      <w:r w:rsidRPr="00A73E6C">
        <w:rPr>
          <w:rFonts w:cstheme="minorHAnsi"/>
        </w:rPr>
        <w:lastRenderedPageBreak/>
        <w:t xml:space="preserve"> </w:t>
      </w:r>
    </w:p>
    <w:sdt>
      <w:sdtPr>
        <w:rPr>
          <w:rFonts w:asciiTheme="minorHAnsi" w:eastAsiaTheme="minorHAnsi" w:hAnsiTheme="minorHAnsi" w:cstheme="minorHAnsi"/>
          <w:color w:val="auto"/>
          <w:sz w:val="22"/>
          <w:szCs w:val="22"/>
        </w:rPr>
        <w:id w:val="-1628389778"/>
        <w:docPartObj>
          <w:docPartGallery w:val="Table of Contents"/>
          <w:docPartUnique/>
        </w:docPartObj>
      </w:sdtPr>
      <w:sdtEndPr>
        <w:rPr>
          <w:b/>
          <w:bCs/>
          <w:noProof/>
        </w:rPr>
      </w:sdtEndPr>
      <w:sdtContent>
        <w:p w14:paraId="682A1A8A" w14:textId="77777777" w:rsidR="00F26EF9" w:rsidRPr="00A73E6C" w:rsidRDefault="00F26EF9" w:rsidP="00F26EF9">
          <w:pPr>
            <w:pStyle w:val="TOCHeading"/>
            <w:rPr>
              <w:rFonts w:asciiTheme="minorHAnsi" w:hAnsiTheme="minorHAnsi" w:cstheme="minorHAnsi"/>
              <w:sz w:val="22"/>
              <w:szCs w:val="22"/>
            </w:rPr>
          </w:pPr>
          <w:r w:rsidRPr="00A73E6C">
            <w:rPr>
              <w:rFonts w:asciiTheme="minorHAnsi" w:hAnsiTheme="minorHAnsi" w:cstheme="minorHAnsi"/>
              <w:sz w:val="22"/>
              <w:szCs w:val="22"/>
            </w:rPr>
            <w:t>Table of Contents</w:t>
          </w:r>
        </w:p>
        <w:p w14:paraId="0B4E756F" w14:textId="4F9F7B59" w:rsidR="005F7970" w:rsidRDefault="00F26EF9">
          <w:pPr>
            <w:pStyle w:val="TOC1"/>
            <w:rPr>
              <w:rFonts w:eastAsiaTheme="minorEastAsia"/>
              <w:sz w:val="24"/>
              <w:szCs w:val="24"/>
            </w:rPr>
          </w:pPr>
          <w:r w:rsidRPr="00A73E6C">
            <w:rPr>
              <w:rFonts w:cstheme="minorHAnsi"/>
            </w:rPr>
            <w:fldChar w:fldCharType="begin"/>
          </w:r>
          <w:r w:rsidRPr="00A73E6C">
            <w:rPr>
              <w:rFonts w:cstheme="minorHAnsi"/>
            </w:rPr>
            <w:instrText xml:space="preserve"> TOC \o "1-3" \h \z \u </w:instrText>
          </w:r>
          <w:r w:rsidRPr="00A73E6C">
            <w:rPr>
              <w:rFonts w:cstheme="minorHAnsi"/>
            </w:rPr>
            <w:fldChar w:fldCharType="separate"/>
          </w:r>
          <w:hyperlink w:anchor="_Toc158819731" w:history="1">
            <w:r w:rsidR="005F7970" w:rsidRPr="000D560E">
              <w:rPr>
                <w:rStyle w:val="Hyperlink"/>
              </w:rPr>
              <w:t>1.</w:t>
            </w:r>
            <w:r w:rsidR="005F7970">
              <w:rPr>
                <w:rFonts w:eastAsiaTheme="minorEastAsia"/>
                <w:sz w:val="24"/>
                <w:szCs w:val="24"/>
              </w:rPr>
              <w:tab/>
            </w:r>
            <w:r w:rsidR="005F7970" w:rsidRPr="000D560E">
              <w:rPr>
                <w:rStyle w:val="Hyperlink"/>
              </w:rPr>
              <w:t>Introduction</w:t>
            </w:r>
            <w:r w:rsidR="005F7970">
              <w:rPr>
                <w:webHidden/>
              </w:rPr>
              <w:tab/>
            </w:r>
            <w:r w:rsidR="005F7970">
              <w:rPr>
                <w:webHidden/>
              </w:rPr>
              <w:fldChar w:fldCharType="begin"/>
            </w:r>
            <w:r w:rsidR="005F7970">
              <w:rPr>
                <w:webHidden/>
              </w:rPr>
              <w:instrText xml:space="preserve"> PAGEREF _Toc158819731 \h </w:instrText>
            </w:r>
            <w:r w:rsidR="005F7970">
              <w:rPr>
                <w:webHidden/>
              </w:rPr>
            </w:r>
            <w:r w:rsidR="005F7970">
              <w:rPr>
                <w:webHidden/>
              </w:rPr>
              <w:fldChar w:fldCharType="separate"/>
            </w:r>
            <w:r w:rsidR="005F7970">
              <w:rPr>
                <w:webHidden/>
              </w:rPr>
              <w:t>4</w:t>
            </w:r>
            <w:r w:rsidR="005F7970">
              <w:rPr>
                <w:webHidden/>
              </w:rPr>
              <w:fldChar w:fldCharType="end"/>
            </w:r>
          </w:hyperlink>
        </w:p>
        <w:p w14:paraId="5BFBCFE8" w14:textId="5080B6BD" w:rsidR="005F7970" w:rsidRDefault="005F7970">
          <w:pPr>
            <w:pStyle w:val="TOC2"/>
            <w:rPr>
              <w:rFonts w:eastAsiaTheme="minorEastAsia"/>
              <w:sz w:val="24"/>
              <w:szCs w:val="24"/>
            </w:rPr>
          </w:pPr>
          <w:hyperlink w:anchor="_Toc158819732" w:history="1">
            <w:r w:rsidRPr="000D560E">
              <w:rPr>
                <w:rStyle w:val="Hyperlink"/>
              </w:rPr>
              <w:t>1.1 Fast Track to Market at a Glance</w:t>
            </w:r>
            <w:r>
              <w:rPr>
                <w:webHidden/>
              </w:rPr>
              <w:tab/>
            </w:r>
            <w:r>
              <w:rPr>
                <w:webHidden/>
              </w:rPr>
              <w:fldChar w:fldCharType="begin"/>
            </w:r>
            <w:r>
              <w:rPr>
                <w:webHidden/>
              </w:rPr>
              <w:instrText xml:space="preserve"> PAGEREF _Toc158819732 \h </w:instrText>
            </w:r>
            <w:r>
              <w:rPr>
                <w:webHidden/>
              </w:rPr>
            </w:r>
            <w:r>
              <w:rPr>
                <w:webHidden/>
              </w:rPr>
              <w:fldChar w:fldCharType="separate"/>
            </w:r>
            <w:r>
              <w:rPr>
                <w:webHidden/>
              </w:rPr>
              <w:t>4</w:t>
            </w:r>
            <w:r>
              <w:rPr>
                <w:webHidden/>
              </w:rPr>
              <w:fldChar w:fldCharType="end"/>
            </w:r>
          </w:hyperlink>
        </w:p>
        <w:p w14:paraId="6663D40A" w14:textId="434CEBF9" w:rsidR="005F7970" w:rsidRDefault="005F7970">
          <w:pPr>
            <w:pStyle w:val="TOC1"/>
            <w:rPr>
              <w:rFonts w:eastAsiaTheme="minorEastAsia"/>
              <w:sz w:val="24"/>
              <w:szCs w:val="24"/>
            </w:rPr>
          </w:pPr>
          <w:hyperlink w:anchor="_Toc158819733" w:history="1">
            <w:r w:rsidRPr="000D560E">
              <w:rPr>
                <w:rStyle w:val="Hyperlink"/>
              </w:rPr>
              <w:t>2.</w:t>
            </w:r>
            <w:r>
              <w:rPr>
                <w:rFonts w:eastAsiaTheme="minorEastAsia"/>
                <w:sz w:val="24"/>
                <w:szCs w:val="24"/>
              </w:rPr>
              <w:tab/>
            </w:r>
            <w:r w:rsidRPr="000D560E">
              <w:rPr>
                <w:rStyle w:val="Hyperlink"/>
              </w:rPr>
              <w:t>Scope of the Fast Track to Market</w:t>
            </w:r>
            <w:r>
              <w:rPr>
                <w:webHidden/>
              </w:rPr>
              <w:tab/>
            </w:r>
            <w:r>
              <w:rPr>
                <w:webHidden/>
              </w:rPr>
              <w:fldChar w:fldCharType="begin"/>
            </w:r>
            <w:r>
              <w:rPr>
                <w:webHidden/>
              </w:rPr>
              <w:instrText xml:space="preserve"> PAGEREF _Toc158819733 \h </w:instrText>
            </w:r>
            <w:r>
              <w:rPr>
                <w:webHidden/>
              </w:rPr>
            </w:r>
            <w:r>
              <w:rPr>
                <w:webHidden/>
              </w:rPr>
              <w:fldChar w:fldCharType="separate"/>
            </w:r>
            <w:r>
              <w:rPr>
                <w:webHidden/>
              </w:rPr>
              <w:t>5</w:t>
            </w:r>
            <w:r>
              <w:rPr>
                <w:webHidden/>
              </w:rPr>
              <w:fldChar w:fldCharType="end"/>
            </w:r>
          </w:hyperlink>
        </w:p>
        <w:p w14:paraId="1ECA7EE4" w14:textId="64F922FB" w:rsidR="005F7970" w:rsidRDefault="005F7970">
          <w:pPr>
            <w:pStyle w:val="TOC1"/>
            <w:rPr>
              <w:rFonts w:eastAsiaTheme="minorEastAsia"/>
              <w:sz w:val="24"/>
              <w:szCs w:val="24"/>
            </w:rPr>
          </w:pPr>
          <w:hyperlink w:anchor="_Toc158819734" w:history="1">
            <w:r w:rsidRPr="000D560E">
              <w:rPr>
                <w:rStyle w:val="Hyperlink"/>
              </w:rPr>
              <w:t>3.</w:t>
            </w:r>
            <w:r>
              <w:rPr>
                <w:rFonts w:eastAsiaTheme="minorEastAsia"/>
                <w:sz w:val="24"/>
                <w:szCs w:val="24"/>
              </w:rPr>
              <w:tab/>
            </w:r>
            <w:r w:rsidRPr="000D560E">
              <w:rPr>
                <w:rStyle w:val="Hyperlink"/>
              </w:rPr>
              <w:t>Description of Role &amp; Profile</w:t>
            </w:r>
            <w:r>
              <w:rPr>
                <w:webHidden/>
              </w:rPr>
              <w:tab/>
            </w:r>
            <w:r>
              <w:rPr>
                <w:webHidden/>
              </w:rPr>
              <w:fldChar w:fldCharType="begin"/>
            </w:r>
            <w:r>
              <w:rPr>
                <w:webHidden/>
              </w:rPr>
              <w:instrText xml:space="preserve"> PAGEREF _Toc158819734 \h </w:instrText>
            </w:r>
            <w:r>
              <w:rPr>
                <w:webHidden/>
              </w:rPr>
            </w:r>
            <w:r>
              <w:rPr>
                <w:webHidden/>
              </w:rPr>
              <w:fldChar w:fldCharType="separate"/>
            </w:r>
            <w:r>
              <w:rPr>
                <w:webHidden/>
              </w:rPr>
              <w:t>5</w:t>
            </w:r>
            <w:r>
              <w:rPr>
                <w:webHidden/>
              </w:rPr>
              <w:fldChar w:fldCharType="end"/>
            </w:r>
          </w:hyperlink>
        </w:p>
        <w:p w14:paraId="5972C2F3" w14:textId="70D2D62C" w:rsidR="005F7970" w:rsidRDefault="005F7970">
          <w:pPr>
            <w:pStyle w:val="TOC1"/>
            <w:rPr>
              <w:rFonts w:eastAsiaTheme="minorEastAsia"/>
              <w:sz w:val="24"/>
              <w:szCs w:val="24"/>
            </w:rPr>
          </w:pPr>
          <w:hyperlink w:anchor="_Toc158819735" w:history="1">
            <w:r w:rsidRPr="000D560E">
              <w:rPr>
                <w:rStyle w:val="Hyperlink"/>
              </w:rPr>
              <w:t>4.</w:t>
            </w:r>
            <w:r>
              <w:rPr>
                <w:rFonts w:eastAsiaTheme="minorEastAsia"/>
                <w:sz w:val="24"/>
                <w:szCs w:val="24"/>
              </w:rPr>
              <w:tab/>
            </w:r>
            <w:r w:rsidRPr="000D560E">
              <w:rPr>
                <w:rStyle w:val="Hyperlink"/>
              </w:rPr>
              <w:t>Required Impact Tracking and Deliverables</w:t>
            </w:r>
            <w:r>
              <w:rPr>
                <w:webHidden/>
              </w:rPr>
              <w:tab/>
            </w:r>
            <w:r>
              <w:rPr>
                <w:webHidden/>
              </w:rPr>
              <w:fldChar w:fldCharType="begin"/>
            </w:r>
            <w:r>
              <w:rPr>
                <w:webHidden/>
              </w:rPr>
              <w:instrText xml:space="preserve"> PAGEREF _Toc158819735 \h </w:instrText>
            </w:r>
            <w:r>
              <w:rPr>
                <w:webHidden/>
              </w:rPr>
            </w:r>
            <w:r>
              <w:rPr>
                <w:webHidden/>
              </w:rPr>
              <w:fldChar w:fldCharType="separate"/>
            </w:r>
            <w:r>
              <w:rPr>
                <w:webHidden/>
              </w:rPr>
              <w:t>6</w:t>
            </w:r>
            <w:r>
              <w:rPr>
                <w:webHidden/>
              </w:rPr>
              <w:fldChar w:fldCharType="end"/>
            </w:r>
          </w:hyperlink>
        </w:p>
        <w:p w14:paraId="22ADC11E" w14:textId="258CC747" w:rsidR="005F7970" w:rsidRDefault="005F7970">
          <w:pPr>
            <w:pStyle w:val="TOC1"/>
            <w:rPr>
              <w:rFonts w:eastAsiaTheme="minorEastAsia"/>
              <w:sz w:val="24"/>
              <w:szCs w:val="24"/>
            </w:rPr>
          </w:pPr>
          <w:hyperlink w:anchor="_Toc158819736" w:history="1">
            <w:r w:rsidRPr="000D560E">
              <w:rPr>
                <w:rStyle w:val="Hyperlink"/>
              </w:rPr>
              <w:t>5. Application Preparation, Submission &amp; Evaluation</w:t>
            </w:r>
            <w:r>
              <w:rPr>
                <w:webHidden/>
              </w:rPr>
              <w:tab/>
            </w:r>
            <w:r>
              <w:rPr>
                <w:webHidden/>
              </w:rPr>
              <w:fldChar w:fldCharType="begin"/>
            </w:r>
            <w:r>
              <w:rPr>
                <w:webHidden/>
              </w:rPr>
              <w:instrText xml:space="preserve"> PAGEREF _Toc158819736 \h </w:instrText>
            </w:r>
            <w:r>
              <w:rPr>
                <w:webHidden/>
              </w:rPr>
            </w:r>
            <w:r>
              <w:rPr>
                <w:webHidden/>
              </w:rPr>
              <w:fldChar w:fldCharType="separate"/>
            </w:r>
            <w:r>
              <w:rPr>
                <w:webHidden/>
              </w:rPr>
              <w:t>6</w:t>
            </w:r>
            <w:r>
              <w:rPr>
                <w:webHidden/>
              </w:rPr>
              <w:fldChar w:fldCharType="end"/>
            </w:r>
          </w:hyperlink>
        </w:p>
        <w:p w14:paraId="7ED65165" w14:textId="1F980B3F" w:rsidR="005F7970" w:rsidRDefault="005F7970">
          <w:pPr>
            <w:pStyle w:val="TOC2"/>
            <w:rPr>
              <w:rFonts w:eastAsiaTheme="minorEastAsia"/>
              <w:sz w:val="24"/>
              <w:szCs w:val="24"/>
            </w:rPr>
          </w:pPr>
          <w:hyperlink w:anchor="_Toc158819737" w:history="1">
            <w:r w:rsidRPr="000D560E">
              <w:rPr>
                <w:rStyle w:val="Hyperlink"/>
              </w:rPr>
              <w:t>5.1 Timeline</w:t>
            </w:r>
            <w:r>
              <w:rPr>
                <w:webHidden/>
              </w:rPr>
              <w:tab/>
            </w:r>
            <w:r>
              <w:rPr>
                <w:webHidden/>
              </w:rPr>
              <w:fldChar w:fldCharType="begin"/>
            </w:r>
            <w:r>
              <w:rPr>
                <w:webHidden/>
              </w:rPr>
              <w:instrText xml:space="preserve"> PAGEREF _Toc158819737 \h </w:instrText>
            </w:r>
            <w:r>
              <w:rPr>
                <w:webHidden/>
              </w:rPr>
            </w:r>
            <w:r>
              <w:rPr>
                <w:webHidden/>
              </w:rPr>
              <w:fldChar w:fldCharType="separate"/>
            </w:r>
            <w:r>
              <w:rPr>
                <w:webHidden/>
              </w:rPr>
              <w:t>6</w:t>
            </w:r>
            <w:r>
              <w:rPr>
                <w:webHidden/>
              </w:rPr>
              <w:fldChar w:fldCharType="end"/>
            </w:r>
          </w:hyperlink>
        </w:p>
        <w:p w14:paraId="7EFD840D" w14:textId="0018CECC" w:rsidR="005F7970" w:rsidRDefault="005F7970">
          <w:pPr>
            <w:pStyle w:val="TOC2"/>
            <w:rPr>
              <w:rFonts w:eastAsiaTheme="minorEastAsia"/>
              <w:sz w:val="24"/>
              <w:szCs w:val="24"/>
            </w:rPr>
          </w:pPr>
          <w:hyperlink w:anchor="_Toc158819738" w:history="1">
            <w:r w:rsidRPr="000D560E">
              <w:rPr>
                <w:rStyle w:val="Hyperlink"/>
              </w:rPr>
              <w:t>5.2 Who can apply?</w:t>
            </w:r>
            <w:r>
              <w:rPr>
                <w:webHidden/>
              </w:rPr>
              <w:tab/>
            </w:r>
            <w:r>
              <w:rPr>
                <w:webHidden/>
              </w:rPr>
              <w:fldChar w:fldCharType="begin"/>
            </w:r>
            <w:r>
              <w:rPr>
                <w:webHidden/>
              </w:rPr>
              <w:instrText xml:space="preserve"> PAGEREF _Toc158819738 \h </w:instrText>
            </w:r>
            <w:r>
              <w:rPr>
                <w:webHidden/>
              </w:rPr>
            </w:r>
            <w:r>
              <w:rPr>
                <w:webHidden/>
              </w:rPr>
              <w:fldChar w:fldCharType="separate"/>
            </w:r>
            <w:r>
              <w:rPr>
                <w:webHidden/>
              </w:rPr>
              <w:t>6</w:t>
            </w:r>
            <w:r>
              <w:rPr>
                <w:webHidden/>
              </w:rPr>
              <w:fldChar w:fldCharType="end"/>
            </w:r>
          </w:hyperlink>
        </w:p>
        <w:p w14:paraId="5EBFEA5F" w14:textId="74609653" w:rsidR="005F7970" w:rsidRDefault="005F7970">
          <w:pPr>
            <w:pStyle w:val="TOC2"/>
            <w:rPr>
              <w:rFonts w:eastAsiaTheme="minorEastAsia"/>
              <w:sz w:val="24"/>
              <w:szCs w:val="24"/>
            </w:rPr>
          </w:pPr>
          <w:hyperlink w:anchor="_Toc158819739" w:history="1">
            <w:r w:rsidRPr="000D560E">
              <w:rPr>
                <w:rStyle w:val="Hyperlink"/>
              </w:rPr>
              <w:t>5.3 Application documentation</w:t>
            </w:r>
            <w:r>
              <w:rPr>
                <w:webHidden/>
              </w:rPr>
              <w:tab/>
            </w:r>
            <w:r>
              <w:rPr>
                <w:webHidden/>
              </w:rPr>
              <w:fldChar w:fldCharType="begin"/>
            </w:r>
            <w:r>
              <w:rPr>
                <w:webHidden/>
              </w:rPr>
              <w:instrText xml:space="preserve"> PAGEREF _Toc158819739 \h </w:instrText>
            </w:r>
            <w:r>
              <w:rPr>
                <w:webHidden/>
              </w:rPr>
            </w:r>
            <w:r>
              <w:rPr>
                <w:webHidden/>
              </w:rPr>
              <w:fldChar w:fldCharType="separate"/>
            </w:r>
            <w:r>
              <w:rPr>
                <w:webHidden/>
              </w:rPr>
              <w:t>7</w:t>
            </w:r>
            <w:r>
              <w:rPr>
                <w:webHidden/>
              </w:rPr>
              <w:fldChar w:fldCharType="end"/>
            </w:r>
          </w:hyperlink>
        </w:p>
        <w:p w14:paraId="038F1DE6" w14:textId="7AB87B6E" w:rsidR="005F7970" w:rsidRDefault="005F7970">
          <w:pPr>
            <w:pStyle w:val="TOC2"/>
            <w:rPr>
              <w:rFonts w:eastAsiaTheme="minorEastAsia"/>
              <w:sz w:val="24"/>
              <w:szCs w:val="24"/>
            </w:rPr>
          </w:pPr>
          <w:hyperlink w:anchor="_Toc158819740" w:history="1">
            <w:r w:rsidRPr="000D560E">
              <w:rPr>
                <w:rStyle w:val="Hyperlink"/>
              </w:rPr>
              <w:t>5.4 Application Submission</w:t>
            </w:r>
            <w:r>
              <w:rPr>
                <w:webHidden/>
              </w:rPr>
              <w:tab/>
            </w:r>
            <w:r>
              <w:rPr>
                <w:webHidden/>
              </w:rPr>
              <w:fldChar w:fldCharType="begin"/>
            </w:r>
            <w:r>
              <w:rPr>
                <w:webHidden/>
              </w:rPr>
              <w:instrText xml:space="preserve"> PAGEREF _Toc158819740 \h </w:instrText>
            </w:r>
            <w:r>
              <w:rPr>
                <w:webHidden/>
              </w:rPr>
            </w:r>
            <w:r>
              <w:rPr>
                <w:webHidden/>
              </w:rPr>
              <w:fldChar w:fldCharType="separate"/>
            </w:r>
            <w:r>
              <w:rPr>
                <w:webHidden/>
              </w:rPr>
              <w:t>7</w:t>
            </w:r>
            <w:r>
              <w:rPr>
                <w:webHidden/>
              </w:rPr>
              <w:fldChar w:fldCharType="end"/>
            </w:r>
          </w:hyperlink>
        </w:p>
        <w:p w14:paraId="247ABCCD" w14:textId="075970F3" w:rsidR="005F7970" w:rsidRDefault="005F7970">
          <w:pPr>
            <w:pStyle w:val="TOC1"/>
            <w:rPr>
              <w:rFonts w:eastAsiaTheme="minorEastAsia"/>
              <w:sz w:val="24"/>
              <w:szCs w:val="24"/>
            </w:rPr>
          </w:pPr>
          <w:hyperlink w:anchor="_Toc158819741" w:history="1">
            <w:r w:rsidRPr="000D560E">
              <w:rPr>
                <w:rStyle w:val="Hyperlink"/>
              </w:rPr>
              <w:t>6. Evaluation and Selection Process</w:t>
            </w:r>
            <w:r>
              <w:rPr>
                <w:webHidden/>
              </w:rPr>
              <w:tab/>
            </w:r>
            <w:r>
              <w:rPr>
                <w:webHidden/>
              </w:rPr>
              <w:fldChar w:fldCharType="begin"/>
            </w:r>
            <w:r>
              <w:rPr>
                <w:webHidden/>
              </w:rPr>
              <w:instrText xml:space="preserve"> PAGEREF _Toc158819741 \h </w:instrText>
            </w:r>
            <w:r>
              <w:rPr>
                <w:webHidden/>
              </w:rPr>
            </w:r>
            <w:r>
              <w:rPr>
                <w:webHidden/>
              </w:rPr>
              <w:fldChar w:fldCharType="separate"/>
            </w:r>
            <w:r>
              <w:rPr>
                <w:webHidden/>
              </w:rPr>
              <w:t>7</w:t>
            </w:r>
            <w:r>
              <w:rPr>
                <w:webHidden/>
              </w:rPr>
              <w:fldChar w:fldCharType="end"/>
            </w:r>
          </w:hyperlink>
        </w:p>
        <w:p w14:paraId="13A9B973" w14:textId="1D4C8878" w:rsidR="005F7970" w:rsidRDefault="005F7970">
          <w:pPr>
            <w:pStyle w:val="TOC2"/>
            <w:rPr>
              <w:rFonts w:eastAsiaTheme="minorEastAsia"/>
              <w:sz w:val="24"/>
              <w:szCs w:val="24"/>
            </w:rPr>
          </w:pPr>
          <w:hyperlink w:anchor="_Toc158819742" w:history="1">
            <w:r w:rsidRPr="000D560E">
              <w:rPr>
                <w:rStyle w:val="Hyperlink"/>
              </w:rPr>
              <w:t>6.1 Eligibility</w:t>
            </w:r>
            <w:r>
              <w:rPr>
                <w:webHidden/>
              </w:rPr>
              <w:tab/>
            </w:r>
            <w:r>
              <w:rPr>
                <w:webHidden/>
              </w:rPr>
              <w:fldChar w:fldCharType="begin"/>
            </w:r>
            <w:r>
              <w:rPr>
                <w:webHidden/>
              </w:rPr>
              <w:instrText xml:space="preserve"> PAGEREF _Toc158819742 \h </w:instrText>
            </w:r>
            <w:r>
              <w:rPr>
                <w:webHidden/>
              </w:rPr>
            </w:r>
            <w:r>
              <w:rPr>
                <w:webHidden/>
              </w:rPr>
              <w:fldChar w:fldCharType="separate"/>
            </w:r>
            <w:r>
              <w:rPr>
                <w:webHidden/>
              </w:rPr>
              <w:t>7</w:t>
            </w:r>
            <w:r>
              <w:rPr>
                <w:webHidden/>
              </w:rPr>
              <w:fldChar w:fldCharType="end"/>
            </w:r>
          </w:hyperlink>
        </w:p>
        <w:p w14:paraId="713C345C" w14:textId="63D82149" w:rsidR="005F7970" w:rsidRDefault="005F7970">
          <w:pPr>
            <w:pStyle w:val="TOC2"/>
            <w:rPr>
              <w:rFonts w:eastAsiaTheme="minorEastAsia"/>
              <w:sz w:val="24"/>
              <w:szCs w:val="24"/>
            </w:rPr>
          </w:pPr>
          <w:hyperlink w:anchor="_Toc158819743" w:history="1">
            <w:r w:rsidRPr="000D560E">
              <w:rPr>
                <w:rStyle w:val="Hyperlink"/>
              </w:rPr>
              <w:t>6.2 Eligibility Criteria for EIT Food-affiliated participants</w:t>
            </w:r>
            <w:r>
              <w:rPr>
                <w:webHidden/>
              </w:rPr>
              <w:tab/>
            </w:r>
            <w:r>
              <w:rPr>
                <w:webHidden/>
              </w:rPr>
              <w:fldChar w:fldCharType="begin"/>
            </w:r>
            <w:r>
              <w:rPr>
                <w:webHidden/>
              </w:rPr>
              <w:instrText xml:space="preserve"> PAGEREF _Toc158819743 \h </w:instrText>
            </w:r>
            <w:r>
              <w:rPr>
                <w:webHidden/>
              </w:rPr>
            </w:r>
            <w:r>
              <w:rPr>
                <w:webHidden/>
              </w:rPr>
              <w:fldChar w:fldCharType="separate"/>
            </w:r>
            <w:r>
              <w:rPr>
                <w:webHidden/>
              </w:rPr>
              <w:t>8</w:t>
            </w:r>
            <w:r>
              <w:rPr>
                <w:webHidden/>
              </w:rPr>
              <w:fldChar w:fldCharType="end"/>
            </w:r>
          </w:hyperlink>
        </w:p>
        <w:p w14:paraId="2DB1A77B" w14:textId="71A339B0" w:rsidR="005F7970" w:rsidRDefault="005F7970">
          <w:pPr>
            <w:pStyle w:val="TOC2"/>
            <w:rPr>
              <w:rFonts w:eastAsiaTheme="minorEastAsia"/>
              <w:sz w:val="24"/>
              <w:szCs w:val="24"/>
            </w:rPr>
          </w:pPr>
          <w:hyperlink w:anchor="_Toc158819744" w:history="1">
            <w:r w:rsidRPr="000D560E">
              <w:rPr>
                <w:rStyle w:val="Hyperlink"/>
              </w:rPr>
              <w:t>6.3 Exclusion</w:t>
            </w:r>
            <w:r>
              <w:rPr>
                <w:webHidden/>
              </w:rPr>
              <w:tab/>
            </w:r>
            <w:r>
              <w:rPr>
                <w:webHidden/>
              </w:rPr>
              <w:fldChar w:fldCharType="begin"/>
            </w:r>
            <w:r>
              <w:rPr>
                <w:webHidden/>
              </w:rPr>
              <w:instrText xml:space="preserve"> PAGEREF _Toc158819744 \h </w:instrText>
            </w:r>
            <w:r>
              <w:rPr>
                <w:webHidden/>
              </w:rPr>
            </w:r>
            <w:r>
              <w:rPr>
                <w:webHidden/>
              </w:rPr>
              <w:fldChar w:fldCharType="separate"/>
            </w:r>
            <w:r>
              <w:rPr>
                <w:webHidden/>
              </w:rPr>
              <w:t>8</w:t>
            </w:r>
            <w:r>
              <w:rPr>
                <w:webHidden/>
              </w:rPr>
              <w:fldChar w:fldCharType="end"/>
            </w:r>
          </w:hyperlink>
        </w:p>
        <w:p w14:paraId="1372EF7B" w14:textId="6846A1B7" w:rsidR="005F7970" w:rsidRDefault="005F7970">
          <w:pPr>
            <w:pStyle w:val="TOC2"/>
            <w:rPr>
              <w:rFonts w:eastAsiaTheme="minorEastAsia"/>
              <w:sz w:val="24"/>
              <w:szCs w:val="24"/>
            </w:rPr>
          </w:pPr>
          <w:hyperlink w:anchor="_Toc158819745" w:history="1">
            <w:r w:rsidRPr="000D560E">
              <w:rPr>
                <w:rStyle w:val="Hyperlink"/>
              </w:rPr>
              <w:t>6.4 Evaluation Process</w:t>
            </w:r>
            <w:r>
              <w:rPr>
                <w:webHidden/>
              </w:rPr>
              <w:tab/>
            </w:r>
            <w:r>
              <w:rPr>
                <w:webHidden/>
              </w:rPr>
              <w:fldChar w:fldCharType="begin"/>
            </w:r>
            <w:r>
              <w:rPr>
                <w:webHidden/>
              </w:rPr>
              <w:instrText xml:space="preserve"> PAGEREF _Toc158819745 \h </w:instrText>
            </w:r>
            <w:r>
              <w:rPr>
                <w:webHidden/>
              </w:rPr>
            </w:r>
            <w:r>
              <w:rPr>
                <w:webHidden/>
              </w:rPr>
              <w:fldChar w:fldCharType="separate"/>
            </w:r>
            <w:r>
              <w:rPr>
                <w:webHidden/>
              </w:rPr>
              <w:t>8</w:t>
            </w:r>
            <w:r>
              <w:rPr>
                <w:webHidden/>
              </w:rPr>
              <w:fldChar w:fldCharType="end"/>
            </w:r>
          </w:hyperlink>
        </w:p>
        <w:p w14:paraId="3B59F456" w14:textId="4FC3A31B" w:rsidR="005F7970" w:rsidRDefault="005F7970">
          <w:pPr>
            <w:pStyle w:val="TOC2"/>
            <w:rPr>
              <w:rFonts w:eastAsiaTheme="minorEastAsia"/>
              <w:sz w:val="24"/>
              <w:szCs w:val="24"/>
            </w:rPr>
          </w:pPr>
          <w:hyperlink w:anchor="_Toc158819746" w:history="1">
            <w:r w:rsidRPr="000D560E">
              <w:rPr>
                <w:rStyle w:val="Hyperlink"/>
                <w:lang w:val="en-GB"/>
              </w:rPr>
              <w:t>6.5 Panels</w:t>
            </w:r>
            <w:r>
              <w:rPr>
                <w:webHidden/>
              </w:rPr>
              <w:tab/>
            </w:r>
            <w:r>
              <w:rPr>
                <w:webHidden/>
              </w:rPr>
              <w:fldChar w:fldCharType="begin"/>
            </w:r>
            <w:r>
              <w:rPr>
                <w:webHidden/>
              </w:rPr>
              <w:instrText xml:space="preserve"> PAGEREF _Toc158819746 \h </w:instrText>
            </w:r>
            <w:r>
              <w:rPr>
                <w:webHidden/>
              </w:rPr>
            </w:r>
            <w:r>
              <w:rPr>
                <w:webHidden/>
              </w:rPr>
              <w:fldChar w:fldCharType="separate"/>
            </w:r>
            <w:r>
              <w:rPr>
                <w:webHidden/>
              </w:rPr>
              <w:t>10</w:t>
            </w:r>
            <w:r>
              <w:rPr>
                <w:webHidden/>
              </w:rPr>
              <w:fldChar w:fldCharType="end"/>
            </w:r>
          </w:hyperlink>
        </w:p>
        <w:p w14:paraId="04FF58FE" w14:textId="4279A860" w:rsidR="005F7970" w:rsidRDefault="005F7970">
          <w:pPr>
            <w:pStyle w:val="TOC2"/>
            <w:rPr>
              <w:rFonts w:eastAsiaTheme="minorEastAsia"/>
              <w:sz w:val="24"/>
              <w:szCs w:val="24"/>
            </w:rPr>
          </w:pPr>
          <w:hyperlink w:anchor="_Toc158819747" w:history="1">
            <w:r w:rsidRPr="000D560E">
              <w:rPr>
                <w:rStyle w:val="Hyperlink"/>
                <w:lang w:val="en-GB"/>
              </w:rPr>
              <w:t>6.6 Selection</w:t>
            </w:r>
            <w:r>
              <w:rPr>
                <w:webHidden/>
              </w:rPr>
              <w:tab/>
            </w:r>
            <w:r>
              <w:rPr>
                <w:webHidden/>
              </w:rPr>
              <w:fldChar w:fldCharType="begin"/>
            </w:r>
            <w:r>
              <w:rPr>
                <w:webHidden/>
              </w:rPr>
              <w:instrText xml:space="preserve"> PAGEREF _Toc158819747 \h </w:instrText>
            </w:r>
            <w:r>
              <w:rPr>
                <w:webHidden/>
              </w:rPr>
            </w:r>
            <w:r>
              <w:rPr>
                <w:webHidden/>
              </w:rPr>
              <w:fldChar w:fldCharType="separate"/>
            </w:r>
            <w:r>
              <w:rPr>
                <w:webHidden/>
              </w:rPr>
              <w:t>10</w:t>
            </w:r>
            <w:r>
              <w:rPr>
                <w:webHidden/>
              </w:rPr>
              <w:fldChar w:fldCharType="end"/>
            </w:r>
          </w:hyperlink>
        </w:p>
        <w:p w14:paraId="5305C244" w14:textId="184E5A60" w:rsidR="005F7970" w:rsidRDefault="005F7970">
          <w:pPr>
            <w:pStyle w:val="TOC2"/>
            <w:rPr>
              <w:rFonts w:eastAsiaTheme="minorEastAsia"/>
              <w:sz w:val="24"/>
              <w:szCs w:val="24"/>
            </w:rPr>
          </w:pPr>
          <w:hyperlink w:anchor="_Toc158819748" w:history="1">
            <w:r w:rsidRPr="000D560E">
              <w:rPr>
                <w:rStyle w:val="Hyperlink"/>
                <w:lang w:val="en-GB"/>
              </w:rPr>
              <w:t>6.7 Communication of Results to Applicants</w:t>
            </w:r>
            <w:r>
              <w:rPr>
                <w:webHidden/>
              </w:rPr>
              <w:tab/>
            </w:r>
            <w:r>
              <w:rPr>
                <w:webHidden/>
              </w:rPr>
              <w:fldChar w:fldCharType="begin"/>
            </w:r>
            <w:r>
              <w:rPr>
                <w:webHidden/>
              </w:rPr>
              <w:instrText xml:space="preserve"> PAGEREF _Toc158819748 \h </w:instrText>
            </w:r>
            <w:r>
              <w:rPr>
                <w:webHidden/>
              </w:rPr>
            </w:r>
            <w:r>
              <w:rPr>
                <w:webHidden/>
              </w:rPr>
              <w:fldChar w:fldCharType="separate"/>
            </w:r>
            <w:r>
              <w:rPr>
                <w:webHidden/>
              </w:rPr>
              <w:t>10</w:t>
            </w:r>
            <w:r>
              <w:rPr>
                <w:webHidden/>
              </w:rPr>
              <w:fldChar w:fldCharType="end"/>
            </w:r>
          </w:hyperlink>
        </w:p>
        <w:p w14:paraId="1EFA9B2C" w14:textId="117AEA91" w:rsidR="005F7970" w:rsidRDefault="005F7970">
          <w:pPr>
            <w:pStyle w:val="TOC1"/>
            <w:rPr>
              <w:rFonts w:eastAsiaTheme="minorEastAsia"/>
              <w:sz w:val="24"/>
              <w:szCs w:val="24"/>
            </w:rPr>
          </w:pPr>
          <w:hyperlink w:anchor="_Toc158819749" w:history="1">
            <w:r w:rsidRPr="000D560E">
              <w:rPr>
                <w:rStyle w:val="Hyperlink"/>
              </w:rPr>
              <w:t>7. Success-Based Financial Return to EIT Food</w:t>
            </w:r>
            <w:r>
              <w:rPr>
                <w:webHidden/>
              </w:rPr>
              <w:tab/>
            </w:r>
            <w:r>
              <w:rPr>
                <w:webHidden/>
              </w:rPr>
              <w:fldChar w:fldCharType="begin"/>
            </w:r>
            <w:r>
              <w:rPr>
                <w:webHidden/>
              </w:rPr>
              <w:instrText xml:space="preserve"> PAGEREF _Toc158819749 \h </w:instrText>
            </w:r>
            <w:r>
              <w:rPr>
                <w:webHidden/>
              </w:rPr>
            </w:r>
            <w:r>
              <w:rPr>
                <w:webHidden/>
              </w:rPr>
              <w:fldChar w:fldCharType="separate"/>
            </w:r>
            <w:r>
              <w:rPr>
                <w:webHidden/>
              </w:rPr>
              <w:t>10</w:t>
            </w:r>
            <w:r>
              <w:rPr>
                <w:webHidden/>
              </w:rPr>
              <w:fldChar w:fldCharType="end"/>
            </w:r>
          </w:hyperlink>
        </w:p>
        <w:p w14:paraId="0F1FB31D" w14:textId="21A7CA89" w:rsidR="005F7970" w:rsidRDefault="005F7970">
          <w:pPr>
            <w:pStyle w:val="TOC2"/>
            <w:rPr>
              <w:rFonts w:eastAsiaTheme="minorEastAsia"/>
              <w:sz w:val="24"/>
              <w:szCs w:val="24"/>
            </w:rPr>
          </w:pPr>
          <w:hyperlink w:anchor="_Toc158819750" w:history="1">
            <w:r w:rsidRPr="000D560E">
              <w:rPr>
                <w:rStyle w:val="Hyperlink"/>
              </w:rPr>
              <w:t>7.1 Revenue Based Financing (RBF)</w:t>
            </w:r>
            <w:r>
              <w:rPr>
                <w:webHidden/>
              </w:rPr>
              <w:tab/>
            </w:r>
            <w:r>
              <w:rPr>
                <w:webHidden/>
              </w:rPr>
              <w:fldChar w:fldCharType="begin"/>
            </w:r>
            <w:r>
              <w:rPr>
                <w:webHidden/>
              </w:rPr>
              <w:instrText xml:space="preserve"> PAGEREF _Toc158819750 \h </w:instrText>
            </w:r>
            <w:r>
              <w:rPr>
                <w:webHidden/>
              </w:rPr>
            </w:r>
            <w:r>
              <w:rPr>
                <w:webHidden/>
              </w:rPr>
              <w:fldChar w:fldCharType="separate"/>
            </w:r>
            <w:r>
              <w:rPr>
                <w:webHidden/>
              </w:rPr>
              <w:t>11</w:t>
            </w:r>
            <w:r>
              <w:rPr>
                <w:webHidden/>
              </w:rPr>
              <w:fldChar w:fldCharType="end"/>
            </w:r>
          </w:hyperlink>
        </w:p>
        <w:p w14:paraId="4E2727FE" w14:textId="7A159572" w:rsidR="005F7970" w:rsidRDefault="005F7970">
          <w:pPr>
            <w:pStyle w:val="TOC2"/>
            <w:rPr>
              <w:rFonts w:eastAsiaTheme="minorEastAsia"/>
              <w:sz w:val="24"/>
              <w:szCs w:val="24"/>
            </w:rPr>
          </w:pPr>
          <w:hyperlink w:anchor="_Toc158819751" w:history="1">
            <w:r w:rsidRPr="000D560E">
              <w:rPr>
                <w:rStyle w:val="Hyperlink"/>
              </w:rPr>
              <w:t>7.2 Prefinancing and RBF Repayment</w:t>
            </w:r>
            <w:r>
              <w:rPr>
                <w:webHidden/>
              </w:rPr>
              <w:tab/>
            </w:r>
            <w:r>
              <w:rPr>
                <w:webHidden/>
              </w:rPr>
              <w:fldChar w:fldCharType="begin"/>
            </w:r>
            <w:r>
              <w:rPr>
                <w:webHidden/>
              </w:rPr>
              <w:instrText xml:space="preserve"> PAGEREF _Toc158819751 \h </w:instrText>
            </w:r>
            <w:r>
              <w:rPr>
                <w:webHidden/>
              </w:rPr>
            </w:r>
            <w:r>
              <w:rPr>
                <w:webHidden/>
              </w:rPr>
              <w:fldChar w:fldCharType="separate"/>
            </w:r>
            <w:r>
              <w:rPr>
                <w:webHidden/>
              </w:rPr>
              <w:t>11</w:t>
            </w:r>
            <w:r>
              <w:rPr>
                <w:webHidden/>
              </w:rPr>
              <w:fldChar w:fldCharType="end"/>
            </w:r>
          </w:hyperlink>
        </w:p>
        <w:p w14:paraId="4F36078D" w14:textId="0724234F" w:rsidR="005F7970" w:rsidRDefault="005F7970">
          <w:pPr>
            <w:pStyle w:val="TOC2"/>
            <w:rPr>
              <w:rFonts w:eastAsiaTheme="minorEastAsia"/>
              <w:sz w:val="24"/>
              <w:szCs w:val="24"/>
            </w:rPr>
          </w:pPr>
          <w:hyperlink w:anchor="_Toc158819752" w:history="1">
            <w:r w:rsidRPr="000D560E">
              <w:rPr>
                <w:rStyle w:val="Hyperlink"/>
              </w:rPr>
              <w:t>7.3 Summary of Terms</w:t>
            </w:r>
            <w:r>
              <w:rPr>
                <w:webHidden/>
              </w:rPr>
              <w:tab/>
            </w:r>
            <w:r>
              <w:rPr>
                <w:webHidden/>
              </w:rPr>
              <w:fldChar w:fldCharType="begin"/>
            </w:r>
            <w:r>
              <w:rPr>
                <w:webHidden/>
              </w:rPr>
              <w:instrText xml:space="preserve"> PAGEREF _Toc158819752 \h </w:instrText>
            </w:r>
            <w:r>
              <w:rPr>
                <w:webHidden/>
              </w:rPr>
            </w:r>
            <w:r>
              <w:rPr>
                <w:webHidden/>
              </w:rPr>
              <w:fldChar w:fldCharType="separate"/>
            </w:r>
            <w:r>
              <w:rPr>
                <w:webHidden/>
              </w:rPr>
              <w:t>11</w:t>
            </w:r>
            <w:r>
              <w:rPr>
                <w:webHidden/>
              </w:rPr>
              <w:fldChar w:fldCharType="end"/>
            </w:r>
          </w:hyperlink>
        </w:p>
        <w:p w14:paraId="66CC829D" w14:textId="043035AE" w:rsidR="005F7970" w:rsidRDefault="005F7970">
          <w:pPr>
            <w:pStyle w:val="TOC1"/>
            <w:rPr>
              <w:rFonts w:eastAsiaTheme="minorEastAsia"/>
              <w:sz w:val="24"/>
              <w:szCs w:val="24"/>
            </w:rPr>
          </w:pPr>
          <w:hyperlink w:anchor="_Toc158819753" w:history="1">
            <w:r w:rsidRPr="000D560E">
              <w:rPr>
                <w:rStyle w:val="Hyperlink"/>
              </w:rPr>
              <w:t>8.  Administrative Items</w:t>
            </w:r>
            <w:r>
              <w:rPr>
                <w:webHidden/>
              </w:rPr>
              <w:tab/>
            </w:r>
            <w:r>
              <w:rPr>
                <w:webHidden/>
              </w:rPr>
              <w:fldChar w:fldCharType="begin"/>
            </w:r>
            <w:r>
              <w:rPr>
                <w:webHidden/>
              </w:rPr>
              <w:instrText xml:space="preserve"> PAGEREF _Toc158819753 \h </w:instrText>
            </w:r>
            <w:r>
              <w:rPr>
                <w:webHidden/>
              </w:rPr>
            </w:r>
            <w:r>
              <w:rPr>
                <w:webHidden/>
              </w:rPr>
              <w:fldChar w:fldCharType="separate"/>
            </w:r>
            <w:r>
              <w:rPr>
                <w:webHidden/>
              </w:rPr>
              <w:t>11</w:t>
            </w:r>
            <w:r>
              <w:rPr>
                <w:webHidden/>
              </w:rPr>
              <w:fldChar w:fldCharType="end"/>
            </w:r>
          </w:hyperlink>
        </w:p>
        <w:p w14:paraId="4EBBAB6F" w14:textId="0B892443" w:rsidR="005F7970" w:rsidRDefault="005F7970">
          <w:pPr>
            <w:pStyle w:val="TOC2"/>
            <w:rPr>
              <w:rFonts w:eastAsiaTheme="minorEastAsia"/>
              <w:sz w:val="24"/>
              <w:szCs w:val="24"/>
            </w:rPr>
          </w:pPr>
          <w:hyperlink w:anchor="_Toc158819754" w:history="1">
            <w:r w:rsidRPr="000D560E">
              <w:rPr>
                <w:rStyle w:val="Hyperlink"/>
              </w:rPr>
              <w:t>8.1 Appeal to Results</w:t>
            </w:r>
            <w:r>
              <w:rPr>
                <w:webHidden/>
              </w:rPr>
              <w:tab/>
            </w:r>
            <w:r>
              <w:rPr>
                <w:webHidden/>
              </w:rPr>
              <w:fldChar w:fldCharType="begin"/>
            </w:r>
            <w:r>
              <w:rPr>
                <w:webHidden/>
              </w:rPr>
              <w:instrText xml:space="preserve"> PAGEREF _Toc158819754 \h </w:instrText>
            </w:r>
            <w:r>
              <w:rPr>
                <w:webHidden/>
              </w:rPr>
            </w:r>
            <w:r>
              <w:rPr>
                <w:webHidden/>
              </w:rPr>
              <w:fldChar w:fldCharType="separate"/>
            </w:r>
            <w:r>
              <w:rPr>
                <w:webHidden/>
              </w:rPr>
              <w:t>11</w:t>
            </w:r>
            <w:r>
              <w:rPr>
                <w:webHidden/>
              </w:rPr>
              <w:fldChar w:fldCharType="end"/>
            </w:r>
          </w:hyperlink>
        </w:p>
        <w:p w14:paraId="10AC9878" w14:textId="10D600DE" w:rsidR="005F7970" w:rsidRDefault="005F7970">
          <w:pPr>
            <w:pStyle w:val="TOC2"/>
            <w:rPr>
              <w:rFonts w:eastAsiaTheme="minorEastAsia"/>
              <w:sz w:val="24"/>
              <w:szCs w:val="24"/>
            </w:rPr>
          </w:pPr>
          <w:hyperlink w:anchor="_Toc158819755" w:history="1">
            <w:r w:rsidRPr="000D560E">
              <w:rPr>
                <w:rStyle w:val="Hyperlink"/>
              </w:rPr>
              <w:t>8.2. EIT Food Legal Framework &amp; Legal Documents to be signed</w:t>
            </w:r>
            <w:r>
              <w:rPr>
                <w:webHidden/>
              </w:rPr>
              <w:tab/>
            </w:r>
            <w:r>
              <w:rPr>
                <w:webHidden/>
              </w:rPr>
              <w:fldChar w:fldCharType="begin"/>
            </w:r>
            <w:r>
              <w:rPr>
                <w:webHidden/>
              </w:rPr>
              <w:instrText xml:space="preserve"> PAGEREF _Toc158819755 \h </w:instrText>
            </w:r>
            <w:r>
              <w:rPr>
                <w:webHidden/>
              </w:rPr>
            </w:r>
            <w:r>
              <w:rPr>
                <w:webHidden/>
              </w:rPr>
              <w:fldChar w:fldCharType="separate"/>
            </w:r>
            <w:r>
              <w:rPr>
                <w:webHidden/>
              </w:rPr>
              <w:t>12</w:t>
            </w:r>
            <w:r>
              <w:rPr>
                <w:webHidden/>
              </w:rPr>
              <w:fldChar w:fldCharType="end"/>
            </w:r>
          </w:hyperlink>
        </w:p>
        <w:p w14:paraId="4861F096" w14:textId="2074C655" w:rsidR="005F7970" w:rsidRDefault="005F7970">
          <w:pPr>
            <w:pStyle w:val="TOC2"/>
            <w:rPr>
              <w:rFonts w:eastAsiaTheme="minorEastAsia"/>
              <w:sz w:val="24"/>
              <w:szCs w:val="24"/>
            </w:rPr>
          </w:pPr>
          <w:hyperlink w:anchor="_Toc158819756" w:history="1">
            <w:r w:rsidRPr="000D560E">
              <w:rPr>
                <w:rStyle w:val="Hyperlink"/>
              </w:rPr>
              <w:t>8.3 Funding</w:t>
            </w:r>
            <w:r>
              <w:rPr>
                <w:webHidden/>
              </w:rPr>
              <w:tab/>
            </w:r>
            <w:r>
              <w:rPr>
                <w:webHidden/>
              </w:rPr>
              <w:fldChar w:fldCharType="begin"/>
            </w:r>
            <w:r>
              <w:rPr>
                <w:webHidden/>
              </w:rPr>
              <w:instrText xml:space="preserve"> PAGEREF _Toc158819756 \h </w:instrText>
            </w:r>
            <w:r>
              <w:rPr>
                <w:webHidden/>
              </w:rPr>
            </w:r>
            <w:r>
              <w:rPr>
                <w:webHidden/>
              </w:rPr>
              <w:fldChar w:fldCharType="separate"/>
            </w:r>
            <w:r>
              <w:rPr>
                <w:webHidden/>
              </w:rPr>
              <w:t>12</w:t>
            </w:r>
            <w:r>
              <w:rPr>
                <w:webHidden/>
              </w:rPr>
              <w:fldChar w:fldCharType="end"/>
            </w:r>
          </w:hyperlink>
        </w:p>
        <w:p w14:paraId="70577EC9" w14:textId="42B4952E" w:rsidR="005F7970" w:rsidRDefault="005F7970">
          <w:pPr>
            <w:pStyle w:val="TOC2"/>
            <w:rPr>
              <w:rFonts w:eastAsiaTheme="minorEastAsia"/>
              <w:sz w:val="24"/>
              <w:szCs w:val="24"/>
            </w:rPr>
          </w:pPr>
          <w:hyperlink w:anchor="_Toc158819757" w:history="1">
            <w:r w:rsidRPr="000D560E">
              <w:rPr>
                <w:rStyle w:val="Hyperlink"/>
              </w:rPr>
              <w:t>8.4 Payment Schedule</w:t>
            </w:r>
            <w:r>
              <w:rPr>
                <w:webHidden/>
              </w:rPr>
              <w:tab/>
            </w:r>
            <w:r>
              <w:rPr>
                <w:webHidden/>
              </w:rPr>
              <w:fldChar w:fldCharType="begin"/>
            </w:r>
            <w:r>
              <w:rPr>
                <w:webHidden/>
              </w:rPr>
              <w:instrText xml:space="preserve"> PAGEREF _Toc158819757 \h </w:instrText>
            </w:r>
            <w:r>
              <w:rPr>
                <w:webHidden/>
              </w:rPr>
            </w:r>
            <w:r>
              <w:rPr>
                <w:webHidden/>
              </w:rPr>
              <w:fldChar w:fldCharType="separate"/>
            </w:r>
            <w:r>
              <w:rPr>
                <w:webHidden/>
              </w:rPr>
              <w:t>12</w:t>
            </w:r>
            <w:r>
              <w:rPr>
                <w:webHidden/>
              </w:rPr>
              <w:fldChar w:fldCharType="end"/>
            </w:r>
          </w:hyperlink>
        </w:p>
        <w:p w14:paraId="67A7CC1E" w14:textId="0E43BD11" w:rsidR="005F7970" w:rsidRDefault="005F7970">
          <w:pPr>
            <w:pStyle w:val="TOC2"/>
            <w:rPr>
              <w:rFonts w:eastAsiaTheme="minorEastAsia"/>
              <w:sz w:val="24"/>
              <w:szCs w:val="24"/>
            </w:rPr>
          </w:pPr>
          <w:hyperlink w:anchor="_Toc158819758" w:history="1">
            <w:r w:rsidRPr="000D560E">
              <w:rPr>
                <w:rStyle w:val="Hyperlink"/>
              </w:rPr>
              <w:t>8.5 Monitoring</w:t>
            </w:r>
            <w:r>
              <w:rPr>
                <w:webHidden/>
              </w:rPr>
              <w:tab/>
            </w:r>
            <w:r>
              <w:rPr>
                <w:webHidden/>
              </w:rPr>
              <w:fldChar w:fldCharType="begin"/>
            </w:r>
            <w:r>
              <w:rPr>
                <w:webHidden/>
              </w:rPr>
              <w:instrText xml:space="preserve"> PAGEREF _Toc158819758 \h </w:instrText>
            </w:r>
            <w:r>
              <w:rPr>
                <w:webHidden/>
              </w:rPr>
            </w:r>
            <w:r>
              <w:rPr>
                <w:webHidden/>
              </w:rPr>
              <w:fldChar w:fldCharType="separate"/>
            </w:r>
            <w:r>
              <w:rPr>
                <w:webHidden/>
              </w:rPr>
              <w:t>13</w:t>
            </w:r>
            <w:r>
              <w:rPr>
                <w:webHidden/>
              </w:rPr>
              <w:fldChar w:fldCharType="end"/>
            </w:r>
          </w:hyperlink>
        </w:p>
        <w:p w14:paraId="2B4E98B4" w14:textId="332A055D" w:rsidR="005F7970" w:rsidRDefault="005F7970">
          <w:pPr>
            <w:pStyle w:val="TOC2"/>
            <w:rPr>
              <w:rFonts w:eastAsiaTheme="minorEastAsia"/>
              <w:sz w:val="24"/>
              <w:szCs w:val="24"/>
            </w:rPr>
          </w:pPr>
          <w:hyperlink w:anchor="_Toc158819759" w:history="1">
            <w:r w:rsidRPr="000D560E">
              <w:rPr>
                <w:rStyle w:val="Hyperlink"/>
              </w:rPr>
              <w:t>8.6 Support</w:t>
            </w:r>
            <w:r>
              <w:rPr>
                <w:webHidden/>
              </w:rPr>
              <w:tab/>
            </w:r>
            <w:r>
              <w:rPr>
                <w:webHidden/>
              </w:rPr>
              <w:fldChar w:fldCharType="begin"/>
            </w:r>
            <w:r>
              <w:rPr>
                <w:webHidden/>
              </w:rPr>
              <w:instrText xml:space="preserve"> PAGEREF _Toc158819759 \h </w:instrText>
            </w:r>
            <w:r>
              <w:rPr>
                <w:webHidden/>
              </w:rPr>
            </w:r>
            <w:r>
              <w:rPr>
                <w:webHidden/>
              </w:rPr>
              <w:fldChar w:fldCharType="separate"/>
            </w:r>
            <w:r>
              <w:rPr>
                <w:webHidden/>
              </w:rPr>
              <w:t>13</w:t>
            </w:r>
            <w:r>
              <w:rPr>
                <w:webHidden/>
              </w:rPr>
              <w:fldChar w:fldCharType="end"/>
            </w:r>
          </w:hyperlink>
        </w:p>
        <w:p w14:paraId="01450A42" w14:textId="63CC1367" w:rsidR="005F7970" w:rsidRDefault="005F7970">
          <w:pPr>
            <w:pStyle w:val="TOC1"/>
            <w:rPr>
              <w:rFonts w:eastAsiaTheme="minorEastAsia"/>
              <w:sz w:val="24"/>
              <w:szCs w:val="24"/>
            </w:rPr>
          </w:pPr>
          <w:hyperlink w:anchor="_Toc158819760" w:history="1">
            <w:r w:rsidRPr="000D560E">
              <w:rPr>
                <w:rStyle w:val="Hyperlink"/>
              </w:rPr>
              <w:t>ANNEX 1: Eligibility</w:t>
            </w:r>
            <w:r>
              <w:rPr>
                <w:webHidden/>
              </w:rPr>
              <w:tab/>
            </w:r>
            <w:r>
              <w:rPr>
                <w:webHidden/>
              </w:rPr>
              <w:fldChar w:fldCharType="begin"/>
            </w:r>
            <w:r>
              <w:rPr>
                <w:webHidden/>
              </w:rPr>
              <w:instrText xml:space="preserve"> PAGEREF _Toc158819760 \h </w:instrText>
            </w:r>
            <w:r>
              <w:rPr>
                <w:webHidden/>
              </w:rPr>
            </w:r>
            <w:r>
              <w:rPr>
                <w:webHidden/>
              </w:rPr>
              <w:fldChar w:fldCharType="separate"/>
            </w:r>
            <w:r>
              <w:rPr>
                <w:webHidden/>
              </w:rPr>
              <w:t>14</w:t>
            </w:r>
            <w:r>
              <w:rPr>
                <w:webHidden/>
              </w:rPr>
              <w:fldChar w:fldCharType="end"/>
            </w:r>
          </w:hyperlink>
        </w:p>
        <w:p w14:paraId="50A749C9" w14:textId="3F067F9F" w:rsidR="005F7970" w:rsidRDefault="005F7970">
          <w:pPr>
            <w:pStyle w:val="TOC1"/>
            <w:rPr>
              <w:rFonts w:eastAsiaTheme="minorEastAsia"/>
              <w:sz w:val="24"/>
              <w:szCs w:val="24"/>
            </w:rPr>
          </w:pPr>
          <w:hyperlink w:anchor="_Toc158819761" w:history="1">
            <w:r w:rsidRPr="000D560E">
              <w:rPr>
                <w:rStyle w:val="Hyperlink"/>
              </w:rPr>
              <w:t>Annex 2: Redress mechanism</w:t>
            </w:r>
            <w:r>
              <w:rPr>
                <w:webHidden/>
              </w:rPr>
              <w:tab/>
            </w:r>
            <w:r>
              <w:rPr>
                <w:webHidden/>
              </w:rPr>
              <w:fldChar w:fldCharType="begin"/>
            </w:r>
            <w:r>
              <w:rPr>
                <w:webHidden/>
              </w:rPr>
              <w:instrText xml:space="preserve"> PAGEREF _Toc158819761 \h </w:instrText>
            </w:r>
            <w:r>
              <w:rPr>
                <w:webHidden/>
              </w:rPr>
            </w:r>
            <w:r>
              <w:rPr>
                <w:webHidden/>
              </w:rPr>
              <w:fldChar w:fldCharType="separate"/>
            </w:r>
            <w:r>
              <w:rPr>
                <w:webHidden/>
              </w:rPr>
              <w:t>15</w:t>
            </w:r>
            <w:r>
              <w:rPr>
                <w:webHidden/>
              </w:rPr>
              <w:fldChar w:fldCharType="end"/>
            </w:r>
          </w:hyperlink>
        </w:p>
        <w:p w14:paraId="660942BF" w14:textId="3CC68C9F" w:rsidR="00F26EF9" w:rsidRPr="00A73E6C" w:rsidRDefault="00F26EF9" w:rsidP="00F26EF9">
          <w:pPr>
            <w:rPr>
              <w:rFonts w:cstheme="minorHAnsi"/>
            </w:rPr>
          </w:pPr>
          <w:r w:rsidRPr="00A73E6C">
            <w:rPr>
              <w:rFonts w:cstheme="minorHAnsi"/>
              <w:b/>
              <w:bCs/>
              <w:noProof/>
            </w:rPr>
            <w:fldChar w:fldCharType="end"/>
          </w:r>
        </w:p>
      </w:sdtContent>
    </w:sdt>
    <w:p w14:paraId="57C40890" w14:textId="6719BBEC" w:rsidR="00F26EF9" w:rsidRPr="00A73E6C" w:rsidRDefault="00F26EF9" w:rsidP="00F26EF9">
      <w:pPr>
        <w:rPr>
          <w:rFonts w:cstheme="minorHAnsi"/>
        </w:rPr>
      </w:pPr>
      <w:r w:rsidRPr="00A73E6C">
        <w:rPr>
          <w:rFonts w:cstheme="minorHAnsi"/>
        </w:rPr>
        <w:br w:type="page"/>
      </w:r>
    </w:p>
    <w:p w14:paraId="1689504F" w14:textId="46301E76" w:rsidR="00F26EF9" w:rsidRPr="00420D50" w:rsidRDefault="000D0B77">
      <w:pPr>
        <w:pStyle w:val="Heading1"/>
        <w:numPr>
          <w:ilvl w:val="0"/>
          <w:numId w:val="17"/>
        </w:numPr>
      </w:pPr>
      <w:bookmarkStart w:id="2" w:name="_Toc158819731"/>
      <w:r w:rsidRPr="00420D50">
        <w:lastRenderedPageBreak/>
        <w:t>Introduction</w:t>
      </w:r>
      <w:bookmarkEnd w:id="2"/>
    </w:p>
    <w:p w14:paraId="670EF28B" w14:textId="5E6BF222" w:rsidR="00F26EF9" w:rsidRPr="001710E7" w:rsidRDefault="00F26EF9" w:rsidP="001710E7">
      <w:pPr>
        <w:pStyle w:val="Heading2"/>
        <w:rPr>
          <w:rFonts w:asciiTheme="minorHAnsi" w:hAnsiTheme="minorHAnsi" w:cstheme="minorHAnsi"/>
          <w:sz w:val="22"/>
          <w:szCs w:val="22"/>
        </w:rPr>
      </w:pPr>
      <w:bookmarkStart w:id="3" w:name="_Toc79042855"/>
      <w:bookmarkStart w:id="4" w:name="_Toc79045381"/>
      <w:bookmarkEnd w:id="3"/>
      <w:bookmarkEnd w:id="4"/>
    </w:p>
    <w:p w14:paraId="11976C13" w14:textId="77777777" w:rsidR="000D0B77" w:rsidRDefault="000D0B77" w:rsidP="000D0B77">
      <w:r>
        <w:t xml:space="preserve">EIT Food is the world’s largest food innovation community, creating connections right across the food system. Supported by the European Union (EU), we invest in projects, organisations and individuals which share our goals for a healthy and sustainable food system. </w:t>
      </w:r>
    </w:p>
    <w:p w14:paraId="7919CD78" w14:textId="03A3486E" w:rsidR="000D0B77" w:rsidRPr="00607786" w:rsidRDefault="000D0B77" w:rsidP="000D0B77">
      <w:r>
        <w:t>We have built a unique not-for-profit business to carry out transformative programmes in skills, education, entrepreneurship, start-up investment and communications. We deliver these programmes in partnership with our members to create a culture and build a community which sees the long-term value in the food innovation we fund.</w:t>
      </w:r>
    </w:p>
    <w:p w14:paraId="5107171A" w14:textId="13427AE4" w:rsidR="00411C54" w:rsidRPr="00CF5011" w:rsidDel="000A45E6" w:rsidRDefault="00411C54" w:rsidP="00CF5011">
      <w:pPr>
        <w:rPr>
          <w:b/>
          <w:bCs/>
        </w:rPr>
      </w:pPr>
      <w:r w:rsidRPr="00CF5011">
        <w:rPr>
          <w:b/>
          <w:bCs/>
        </w:rPr>
        <w:t>Our Missions</w:t>
      </w:r>
    </w:p>
    <w:p w14:paraId="24159EC0" w14:textId="77777777" w:rsidR="000D0B77" w:rsidRDefault="000D0B77" w:rsidP="000D0B77">
      <w:pPr>
        <w:pStyle w:val="paragraph"/>
        <w:spacing w:before="0" w:beforeAutospacing="0" w:after="0" w:afterAutospacing="0"/>
        <w:ind w:left="720" w:firstLine="72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6C5882E3" wp14:editId="1AA232E8">
            <wp:extent cx="1097280" cy="1493520"/>
            <wp:effectExtent l="0" t="0" r="0" b="0"/>
            <wp:docPr id="1950944762" name="Picture 1950944762" descr="A blue circle with blue and white apples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circle with blue and white apples and a he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493520"/>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5B87AC3F" wp14:editId="7EE7CF0A">
            <wp:extent cx="1203960" cy="1638300"/>
            <wp:effectExtent l="0" t="0" r="0" b="0"/>
            <wp:docPr id="1035273555" name="Picture 1035273555" descr="A green and black sign with a tractor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73555" name="Picture 2" descr="A green and black sign with a tractor and arrow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3960" cy="1638300"/>
                    </a:xfrm>
                    <a:prstGeom prst="rect">
                      <a:avLst/>
                    </a:prstGeom>
                    <a:noFill/>
                    <a:ln>
                      <a:noFill/>
                    </a:ln>
                  </pic:spPr>
                </pic:pic>
              </a:graphicData>
            </a:graphic>
          </wp:inline>
        </w:drawing>
      </w:r>
      <w:r>
        <w:rPr>
          <w:rStyle w:val="wacimagecontainer"/>
          <w:rFonts w:ascii="Segoe UI" w:hAnsi="Segoe UI" w:cs="Segoe UI"/>
          <w:noProof/>
          <w:sz w:val="18"/>
          <w:szCs w:val="18"/>
        </w:rPr>
        <w:drawing>
          <wp:inline distT="0" distB="0" distL="0" distR="0" wp14:anchorId="1DFEB0E4" wp14:editId="4ED4D0DA">
            <wp:extent cx="1150620" cy="1584960"/>
            <wp:effectExtent l="0" t="0" r="0" b="0"/>
            <wp:docPr id="1261979771" name="Picture 1261979771" descr="A sign with orange and purple outline and fish and a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gn with orange and purple outline and fish and a shield&#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0620" cy="1584960"/>
                    </a:xfrm>
                    <a:prstGeom prst="rect">
                      <a:avLst/>
                    </a:prstGeom>
                    <a:noFill/>
                    <a:ln>
                      <a:noFill/>
                    </a:ln>
                  </pic:spPr>
                </pic:pic>
              </a:graphicData>
            </a:graphic>
          </wp:inline>
        </w:drawing>
      </w:r>
      <w:r>
        <w:rPr>
          <w:rStyle w:val="eop"/>
          <w:rFonts w:ascii="Calibri" w:hAnsi="Calibri" w:cs="Calibri"/>
          <w:color w:val="000000"/>
          <w:sz w:val="22"/>
          <w:szCs w:val="22"/>
        </w:rPr>
        <w:t> </w:t>
      </w:r>
    </w:p>
    <w:p w14:paraId="6C77FB19" w14:textId="77777777" w:rsidR="000D0B77" w:rsidRDefault="000D0B77" w:rsidP="000D0B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1E8D5A2" w14:textId="5C277A7B" w:rsidR="000D0B77" w:rsidRDefault="000D0B77" w:rsidP="000D0B77">
      <w:pPr>
        <w:pStyle w:val="paragraph"/>
        <w:spacing w:before="0" w:beforeAutospacing="0" w:after="0" w:afterAutospacing="0"/>
        <w:textAlignment w:val="baseline"/>
        <w:rPr>
          <w:rStyle w:val="eop"/>
          <w:rFonts w:ascii="Calibri" w:hAnsi="Calibri" w:cs="Calibri"/>
          <w:color w:val="000000" w:themeColor="text1"/>
          <w:sz w:val="22"/>
          <w:szCs w:val="22"/>
        </w:rPr>
      </w:pPr>
      <w:r w:rsidRPr="5D933E47">
        <w:rPr>
          <w:rStyle w:val="normaltextrun"/>
          <w:rFonts w:ascii="Calibri" w:hAnsi="Calibri" w:cs="Calibri"/>
          <w:color w:val="000000" w:themeColor="text1"/>
          <w:sz w:val="22"/>
          <w:szCs w:val="22"/>
        </w:rPr>
        <w:t xml:space="preserve">EIT Food´s Missions respond to major societal challenges within the food system. The alignment of our chosen challenges towards United Nations Sustainable Development Goals (SDGs) and EU policy is detailed in our main funding </w:t>
      </w:r>
      <w:hyperlink r:id="rId17">
        <w:r w:rsidRPr="5D933E47">
          <w:rPr>
            <w:rStyle w:val="normaltextrun"/>
            <w:rFonts w:ascii="Calibri" w:hAnsi="Calibri" w:cs="Calibri"/>
            <w:color w:val="0563C1"/>
            <w:sz w:val="22"/>
            <w:szCs w:val="22"/>
            <w:u w:val="single"/>
          </w:rPr>
          <w:t xml:space="preserve">strategy document </w:t>
        </w:r>
      </w:hyperlink>
      <w:r w:rsidRPr="5D933E47">
        <w:rPr>
          <w:rStyle w:val="normaltextrun"/>
          <w:rFonts w:ascii="Calibri" w:hAnsi="Calibri" w:cs="Calibri"/>
          <w:color w:val="000000" w:themeColor="text1"/>
          <w:sz w:val="22"/>
          <w:szCs w:val="22"/>
        </w:rPr>
        <w:t>agreed with EIT (European Institute of Innovation &amp; Technology).</w:t>
      </w:r>
      <w:r w:rsidRPr="5D933E47">
        <w:rPr>
          <w:rStyle w:val="eop"/>
          <w:rFonts w:ascii="Calibri" w:hAnsi="Calibri" w:cs="Calibri"/>
          <w:color w:val="000000" w:themeColor="text1"/>
          <w:sz w:val="22"/>
          <w:szCs w:val="22"/>
        </w:rPr>
        <w:t xml:space="preserve"> For more about our Missions-led approach please visit </w:t>
      </w:r>
      <w:hyperlink r:id="rId18">
        <w:r w:rsidRPr="00B85946">
          <w:rPr>
            <w:rStyle w:val="Hyperlink"/>
            <w:rFonts w:ascii="Calibri" w:hAnsi="Calibri" w:cs="Calibri"/>
            <w:sz w:val="22"/>
            <w:szCs w:val="22"/>
            <w:u w:val="single"/>
          </w:rPr>
          <w:t>our website</w:t>
        </w:r>
        <w:r w:rsidRPr="5D933E47">
          <w:rPr>
            <w:rStyle w:val="Hyperlink"/>
            <w:rFonts w:ascii="Calibri" w:hAnsi="Calibri" w:cs="Calibri"/>
            <w:sz w:val="22"/>
            <w:szCs w:val="22"/>
          </w:rPr>
          <w:t>.</w:t>
        </w:r>
      </w:hyperlink>
      <w:r w:rsidRPr="5D933E47">
        <w:rPr>
          <w:rStyle w:val="eop"/>
          <w:rFonts w:ascii="Calibri" w:hAnsi="Calibri" w:cs="Calibri"/>
          <w:color w:val="000000" w:themeColor="text1"/>
          <w:sz w:val="22"/>
          <w:szCs w:val="22"/>
        </w:rPr>
        <w:t xml:space="preserve"> </w:t>
      </w:r>
    </w:p>
    <w:p w14:paraId="729CBE9A" w14:textId="77777777" w:rsidR="00457275" w:rsidRDefault="00457275" w:rsidP="000D0B77">
      <w:pPr>
        <w:pStyle w:val="paragraph"/>
        <w:spacing w:before="0" w:beforeAutospacing="0" w:after="0" w:afterAutospacing="0"/>
        <w:textAlignment w:val="baseline"/>
        <w:rPr>
          <w:rStyle w:val="eop"/>
          <w:rFonts w:ascii="Calibri" w:hAnsi="Calibri" w:cs="Calibri"/>
          <w:color w:val="000000"/>
          <w:sz w:val="22"/>
          <w:szCs w:val="22"/>
        </w:rPr>
      </w:pPr>
    </w:p>
    <w:p w14:paraId="65BFF726" w14:textId="36B6D3CE" w:rsidR="0050729D" w:rsidRPr="00420D50" w:rsidRDefault="0050729D" w:rsidP="0050729D">
      <w:pPr>
        <w:pStyle w:val="Heading2"/>
      </w:pPr>
      <w:bookmarkStart w:id="5" w:name="_Hlk79657588"/>
      <w:bookmarkStart w:id="6" w:name="_Hlk79657269"/>
      <w:bookmarkStart w:id="7" w:name="_Toc158819732"/>
      <w:r>
        <w:t>1.1</w:t>
      </w:r>
      <w:r w:rsidRPr="00420D50">
        <w:t xml:space="preserve"> Fast Track to Market </w:t>
      </w:r>
      <w:proofErr w:type="gramStart"/>
      <w:r w:rsidRPr="00420D50">
        <w:t>at a Glance</w:t>
      </w:r>
      <w:bookmarkEnd w:id="7"/>
      <w:proofErr w:type="gramEnd"/>
    </w:p>
    <w:p w14:paraId="10794992" w14:textId="77777777" w:rsidR="0050729D" w:rsidRDefault="0050729D" w:rsidP="0050729D">
      <w:pPr>
        <w:rPr>
          <w:rFonts w:cstheme="minorHAnsi"/>
        </w:rPr>
      </w:pPr>
      <w:r>
        <w:rPr>
          <w:rFonts w:cstheme="minorHAnsi"/>
        </w:rPr>
        <w:t>In support to prospective applicants, below is a summary table containing the key information of the Fast Track to Market opportunity:</w:t>
      </w:r>
    </w:p>
    <w:tbl>
      <w:tblPr>
        <w:tblStyle w:val="TableGrid"/>
        <w:tblW w:w="0" w:type="auto"/>
        <w:tblLook w:val="04A0" w:firstRow="1" w:lastRow="0" w:firstColumn="1" w:lastColumn="0" w:noHBand="0" w:noVBand="1"/>
      </w:tblPr>
      <w:tblGrid>
        <w:gridCol w:w="4405"/>
        <w:gridCol w:w="5648"/>
      </w:tblGrid>
      <w:tr w:rsidR="0050729D" w14:paraId="6097537A" w14:textId="77777777">
        <w:tc>
          <w:tcPr>
            <w:tcW w:w="4405" w:type="dxa"/>
          </w:tcPr>
          <w:p w14:paraId="18081493" w14:textId="32E79123" w:rsidR="0050729D" w:rsidRDefault="0050729D">
            <w:pPr>
              <w:rPr>
                <w:rFonts w:cstheme="minorHAnsi"/>
              </w:rPr>
            </w:pPr>
            <w:r>
              <w:rPr>
                <w:rFonts w:cstheme="minorHAnsi"/>
              </w:rPr>
              <w:t xml:space="preserve">SME eligibility </w:t>
            </w:r>
            <w:r w:rsidRPr="00ED50E2">
              <w:rPr>
                <w:rFonts w:cstheme="minorHAnsi"/>
              </w:rPr>
              <w:t xml:space="preserve">(full criteria listed in </w:t>
            </w:r>
            <w:r w:rsidRPr="00E46F10">
              <w:rPr>
                <w:rFonts w:cstheme="minorHAnsi"/>
              </w:rPr>
              <w:t xml:space="preserve">Section </w:t>
            </w:r>
            <w:r w:rsidR="00ED50E2" w:rsidRPr="00E46F10">
              <w:rPr>
                <w:rFonts w:cstheme="minorHAnsi"/>
              </w:rPr>
              <w:t>6.1</w:t>
            </w:r>
            <w:r w:rsidRPr="00ED50E2">
              <w:rPr>
                <w:rFonts w:cstheme="minorHAnsi"/>
              </w:rPr>
              <w:t>)</w:t>
            </w:r>
          </w:p>
        </w:tc>
        <w:tc>
          <w:tcPr>
            <w:tcW w:w="5648" w:type="dxa"/>
          </w:tcPr>
          <w:p w14:paraId="0909F72A" w14:textId="77777777" w:rsidR="0050729D" w:rsidRPr="00CC01CC" w:rsidRDefault="0050729D">
            <w:pPr>
              <w:rPr>
                <w:rFonts w:ascii="Calibri" w:eastAsia="Calibri" w:hAnsi="Calibri" w:cs="Calibri"/>
                <w:color w:val="000000" w:themeColor="text1"/>
              </w:rPr>
            </w:pPr>
            <w:r>
              <w:rPr>
                <w:rFonts w:ascii="Calibri" w:eastAsia="Calibri" w:hAnsi="Calibri" w:cs="Calibri"/>
                <w:color w:val="000000" w:themeColor="text1"/>
              </w:rPr>
              <w:t>Each applicant must:</w:t>
            </w:r>
          </w:p>
          <w:p w14:paraId="5E5BBCBB" w14:textId="67345402" w:rsidR="0050729D" w:rsidRDefault="0050729D">
            <w:pPr>
              <w:pStyle w:val="ListParagraph"/>
              <w:numPr>
                <w:ilvl w:val="0"/>
                <w:numId w:val="11"/>
              </w:numPr>
              <w:rPr>
                <w:rFonts w:ascii="Calibri" w:eastAsia="Calibri" w:hAnsi="Calibri" w:cs="Calibri"/>
                <w:color w:val="000000" w:themeColor="text1"/>
              </w:rPr>
            </w:pPr>
            <w:r w:rsidRPr="00755C88">
              <w:rPr>
                <w:rFonts w:ascii="Calibri" w:eastAsia="Calibri" w:hAnsi="Calibri" w:cs="Calibri"/>
                <w:color w:val="000000" w:themeColor="text1"/>
              </w:rPr>
              <w:t xml:space="preserve">Be a legally incorporated entity in one of the </w:t>
            </w:r>
            <w:hyperlink r:id="rId19" w:history="1">
              <w:r w:rsidRPr="008E2EB0">
                <w:rPr>
                  <w:rStyle w:val="Hyperlink"/>
                  <w:rFonts w:ascii="Calibri" w:eastAsia="Calibri" w:hAnsi="Calibri" w:cs="Calibri"/>
                  <w:u w:val="single"/>
                </w:rPr>
                <w:t>EU or Horizon Europe eligible countr</w:t>
              </w:r>
              <w:r w:rsidR="008E2EB0">
                <w:rPr>
                  <w:rStyle w:val="Hyperlink"/>
                  <w:rFonts w:ascii="Calibri" w:eastAsia="Calibri" w:hAnsi="Calibri" w:cs="Calibri"/>
                  <w:u w:val="single"/>
                </w:rPr>
                <w:t>ies</w:t>
              </w:r>
            </w:hyperlink>
            <w:r w:rsidRPr="000931F1">
              <w:rPr>
                <w:rFonts w:ascii="Calibri" w:eastAsia="Calibri" w:hAnsi="Calibri" w:cs="Calibri"/>
                <w:color w:val="000000" w:themeColor="text1"/>
              </w:rPr>
              <w:t xml:space="preserve"> </w:t>
            </w:r>
            <w:r w:rsidRPr="0081797A">
              <w:rPr>
                <w:rFonts w:ascii="Calibri" w:eastAsia="Calibri" w:hAnsi="Calibri" w:cs="Calibri"/>
                <w:color w:val="000000" w:themeColor="text1"/>
              </w:rPr>
              <w:t>for a minimum of 12 months of business activity.</w:t>
            </w:r>
            <w:r w:rsidRPr="00755C88">
              <w:rPr>
                <w:rFonts w:ascii="Calibri" w:eastAsia="Calibri" w:hAnsi="Calibri" w:cs="Calibri"/>
                <w:color w:val="000000" w:themeColor="text1"/>
              </w:rPr>
              <w:t xml:space="preserve"> </w:t>
            </w:r>
          </w:p>
          <w:p w14:paraId="00642DCD" w14:textId="60C556C9" w:rsidR="0050729D" w:rsidRDefault="0050729D">
            <w:pPr>
              <w:pStyle w:val="ListParagraph"/>
              <w:numPr>
                <w:ilvl w:val="0"/>
                <w:numId w:val="11"/>
              </w:numPr>
              <w:rPr>
                <w:rFonts w:ascii="Calibri" w:eastAsia="Calibri" w:hAnsi="Calibri" w:cs="Calibri"/>
                <w:color w:val="000000" w:themeColor="text1"/>
              </w:rPr>
            </w:pPr>
            <w:r>
              <w:t>Be a </w:t>
            </w:r>
            <w:hyperlink r:id="rId20" w:history="1">
              <w:r w:rsidRPr="008E2EB0">
                <w:rPr>
                  <w:rStyle w:val="Hyperlink"/>
                  <w:u w:val="single"/>
                </w:rPr>
                <w:t>SMALL sized company</w:t>
              </w:r>
            </w:hyperlink>
            <w:r>
              <w:t> as defined in the </w:t>
            </w:r>
            <w:hyperlink r:id="rId21" w:history="1">
              <w:r w:rsidRPr="008E2EB0">
                <w:rPr>
                  <w:rStyle w:val="Hyperlink"/>
                  <w:u w:val="single"/>
                </w:rPr>
                <w:t>EU recommendation 2003/361</w:t>
              </w:r>
            </w:hyperlink>
            <w:r>
              <w:t xml:space="preserve"> (between </w:t>
            </w:r>
            <w:r w:rsidR="008660B3">
              <w:t>3</w:t>
            </w:r>
            <w:r>
              <w:t xml:space="preserve"> and 49 employees and less than 10 million turnover or balance sheet).</w:t>
            </w:r>
          </w:p>
          <w:p w14:paraId="1E3DB91D" w14:textId="3C22807F" w:rsidR="0050729D" w:rsidRDefault="0050729D">
            <w:pPr>
              <w:pStyle w:val="ListParagraph"/>
              <w:numPr>
                <w:ilvl w:val="0"/>
                <w:numId w:val="11"/>
              </w:numPr>
              <w:rPr>
                <w:rFonts w:ascii="Calibri" w:eastAsia="Calibri" w:hAnsi="Calibri" w:cs="Calibri"/>
                <w:color w:val="000000" w:themeColor="text1"/>
              </w:rPr>
            </w:pPr>
            <w:r>
              <w:rPr>
                <w:rFonts w:ascii="Calibri" w:eastAsia="Calibri" w:hAnsi="Calibri" w:cs="Calibri"/>
                <w:color w:val="000000" w:themeColor="text1"/>
              </w:rPr>
              <w:t>Have a minimum of 3 full-time employees (3 FTEs)</w:t>
            </w:r>
          </w:p>
          <w:p w14:paraId="40F34462" w14:textId="77777777" w:rsidR="0050729D" w:rsidRDefault="0050729D">
            <w:pPr>
              <w:pStyle w:val="ListParagraph"/>
              <w:numPr>
                <w:ilvl w:val="0"/>
                <w:numId w:val="11"/>
              </w:numPr>
              <w:rPr>
                <w:rFonts w:ascii="Calibri" w:eastAsia="Calibri" w:hAnsi="Calibri" w:cs="Calibri"/>
                <w:color w:val="000000" w:themeColor="text1"/>
              </w:rPr>
            </w:pPr>
            <w:r>
              <w:t>Comply with requests for documents during due diligence/validation.</w:t>
            </w:r>
          </w:p>
          <w:p w14:paraId="4F934A54" w14:textId="77777777" w:rsidR="0050729D" w:rsidRPr="00132B6C" w:rsidRDefault="0050729D">
            <w:pPr>
              <w:pStyle w:val="ListParagraph"/>
              <w:numPr>
                <w:ilvl w:val="0"/>
                <w:numId w:val="11"/>
              </w:numPr>
              <w:rPr>
                <w:rFonts w:ascii="Calibri" w:eastAsia="Calibri" w:hAnsi="Calibri" w:cs="Calibri"/>
                <w:color w:val="000000" w:themeColor="text1"/>
              </w:rPr>
            </w:pPr>
            <w:r w:rsidRPr="00755C88">
              <w:rPr>
                <w:color w:val="000000" w:themeColor="text1"/>
              </w:rPr>
              <w:t xml:space="preserve">Provide a PIC Number: </w:t>
            </w:r>
            <w:hyperlink r:id="rId22">
              <w:r w:rsidRPr="00755C88">
                <w:rPr>
                  <w:rStyle w:val="Hyperlink"/>
                </w:rPr>
                <w:t>https://www.eitfood.eu/files/PIC-Guidance.pdf</w:t>
              </w:r>
            </w:hyperlink>
          </w:p>
        </w:tc>
      </w:tr>
      <w:tr w:rsidR="0050729D" w14:paraId="11024574" w14:textId="77777777">
        <w:tc>
          <w:tcPr>
            <w:tcW w:w="4405" w:type="dxa"/>
          </w:tcPr>
          <w:p w14:paraId="286A5CCB" w14:textId="77777777" w:rsidR="0050729D" w:rsidRDefault="0050729D">
            <w:pPr>
              <w:rPr>
                <w:rFonts w:cstheme="minorHAnsi"/>
              </w:rPr>
            </w:pPr>
            <w:r>
              <w:rPr>
                <w:rFonts w:cstheme="minorHAnsi"/>
              </w:rPr>
              <w:t>Scope of product or service</w:t>
            </w:r>
          </w:p>
        </w:tc>
        <w:tc>
          <w:tcPr>
            <w:tcW w:w="5648" w:type="dxa"/>
          </w:tcPr>
          <w:p w14:paraId="137699B0" w14:textId="77777777" w:rsidR="0050729D" w:rsidRPr="00695CC7" w:rsidRDefault="0017473E">
            <w:pPr>
              <w:rPr>
                <w:rFonts w:cstheme="minorHAnsi"/>
              </w:rPr>
            </w:pPr>
            <w:hyperlink r:id="rId23" w:history="1">
              <w:r w:rsidR="0050729D" w:rsidRPr="008E2EB0">
                <w:rPr>
                  <w:rStyle w:val="Hyperlink"/>
                  <w:rFonts w:eastAsiaTheme="minorHAnsi" w:cstheme="minorHAnsi"/>
                  <w:u w:val="single"/>
                </w:rPr>
                <w:t>EIT Food missions</w:t>
              </w:r>
            </w:hyperlink>
            <w:r w:rsidR="0050729D" w:rsidRPr="00695CC7">
              <w:rPr>
                <w:rFonts w:cstheme="minorHAnsi"/>
              </w:rPr>
              <w:t>:</w:t>
            </w:r>
          </w:p>
          <w:p w14:paraId="47F2A26B" w14:textId="77777777" w:rsidR="0050729D" w:rsidRPr="00695CC7" w:rsidRDefault="0050729D">
            <w:pPr>
              <w:pStyle w:val="ListParagraph"/>
              <w:numPr>
                <w:ilvl w:val="0"/>
                <w:numId w:val="9"/>
              </w:numPr>
              <w:rPr>
                <w:rFonts w:cstheme="minorHAnsi"/>
              </w:rPr>
            </w:pPr>
            <w:r w:rsidRPr="00695CC7">
              <w:rPr>
                <w:rFonts w:cstheme="minorHAnsi"/>
              </w:rPr>
              <w:t>Healthier lives through food</w:t>
            </w:r>
          </w:p>
          <w:p w14:paraId="424DC687" w14:textId="77777777" w:rsidR="0050729D" w:rsidRPr="00695CC7" w:rsidRDefault="0050729D">
            <w:pPr>
              <w:pStyle w:val="ListParagraph"/>
              <w:numPr>
                <w:ilvl w:val="0"/>
                <w:numId w:val="9"/>
              </w:numPr>
              <w:rPr>
                <w:rFonts w:cstheme="minorHAnsi"/>
              </w:rPr>
            </w:pPr>
            <w:r w:rsidRPr="00695CC7">
              <w:rPr>
                <w:rFonts w:cstheme="minorHAnsi"/>
              </w:rPr>
              <w:t>Net-zero food system</w:t>
            </w:r>
          </w:p>
          <w:p w14:paraId="3CC5F2D9" w14:textId="77777777" w:rsidR="0050729D" w:rsidRPr="00695CC7" w:rsidRDefault="0050729D">
            <w:pPr>
              <w:pStyle w:val="ListParagraph"/>
              <w:numPr>
                <w:ilvl w:val="0"/>
                <w:numId w:val="9"/>
              </w:numPr>
              <w:rPr>
                <w:rFonts w:cstheme="minorHAnsi"/>
              </w:rPr>
            </w:pPr>
            <w:r w:rsidRPr="00695CC7">
              <w:rPr>
                <w:rFonts w:cstheme="minorHAnsi"/>
              </w:rPr>
              <w:t>Reducing Risk for a Fair &amp; Resilient Food System</w:t>
            </w:r>
          </w:p>
        </w:tc>
      </w:tr>
      <w:tr w:rsidR="0050729D" w14:paraId="5BF18E3D" w14:textId="77777777">
        <w:tc>
          <w:tcPr>
            <w:tcW w:w="4405" w:type="dxa"/>
          </w:tcPr>
          <w:p w14:paraId="1F2F25B8" w14:textId="77777777" w:rsidR="0050729D" w:rsidRDefault="0050729D">
            <w:pPr>
              <w:rPr>
                <w:rFonts w:cstheme="minorHAnsi"/>
              </w:rPr>
            </w:pPr>
            <w:r>
              <w:rPr>
                <w:rFonts w:cstheme="minorHAnsi"/>
              </w:rPr>
              <w:t>Total funding available for each selected SME</w:t>
            </w:r>
          </w:p>
        </w:tc>
        <w:tc>
          <w:tcPr>
            <w:tcW w:w="5648" w:type="dxa"/>
          </w:tcPr>
          <w:p w14:paraId="6EC6CE9F" w14:textId="0F41CD62" w:rsidR="0050729D" w:rsidRPr="0003742B" w:rsidRDefault="00720728">
            <w:pPr>
              <w:rPr>
                <w:rFonts w:cstheme="minorHAnsi"/>
              </w:rPr>
            </w:pPr>
            <w:r>
              <w:rPr>
                <w:rFonts w:cstheme="minorHAnsi"/>
              </w:rPr>
              <w:t xml:space="preserve">Up to </w:t>
            </w:r>
            <w:r w:rsidR="001F5DE1" w:rsidRPr="0003742B">
              <w:rPr>
                <w:rFonts w:cstheme="minorHAnsi"/>
              </w:rPr>
              <w:t>€</w:t>
            </w:r>
            <w:r w:rsidR="001F5DE1">
              <w:rPr>
                <w:rFonts w:cstheme="minorHAnsi"/>
              </w:rPr>
              <w:t>400.000</w:t>
            </w:r>
          </w:p>
        </w:tc>
      </w:tr>
      <w:tr w:rsidR="0050729D" w14:paraId="433E044B" w14:textId="77777777">
        <w:tc>
          <w:tcPr>
            <w:tcW w:w="4405" w:type="dxa"/>
          </w:tcPr>
          <w:p w14:paraId="5CEAAA54" w14:textId="77777777" w:rsidR="0050729D" w:rsidRDefault="0050729D">
            <w:pPr>
              <w:rPr>
                <w:rFonts w:cstheme="minorHAnsi"/>
              </w:rPr>
            </w:pPr>
            <w:r>
              <w:rPr>
                <w:rFonts w:cstheme="minorHAnsi"/>
              </w:rPr>
              <w:t>Project duration</w:t>
            </w:r>
          </w:p>
        </w:tc>
        <w:tc>
          <w:tcPr>
            <w:tcW w:w="5648" w:type="dxa"/>
          </w:tcPr>
          <w:p w14:paraId="31952F22" w14:textId="6234A448" w:rsidR="0050729D" w:rsidRDefault="00720728">
            <w:pPr>
              <w:rPr>
                <w:rFonts w:cstheme="minorHAnsi"/>
              </w:rPr>
            </w:pPr>
            <w:r>
              <w:rPr>
                <w:rFonts w:cstheme="minorHAnsi"/>
              </w:rPr>
              <w:t>Up to a maximum of 10 months</w:t>
            </w:r>
            <w:r w:rsidR="0050729D">
              <w:rPr>
                <w:rFonts w:cstheme="minorHAnsi"/>
              </w:rPr>
              <w:t xml:space="preserve"> </w:t>
            </w:r>
          </w:p>
        </w:tc>
      </w:tr>
      <w:tr w:rsidR="0050729D" w14:paraId="0640DB21" w14:textId="77777777">
        <w:tc>
          <w:tcPr>
            <w:tcW w:w="4405" w:type="dxa"/>
          </w:tcPr>
          <w:p w14:paraId="3D377C06" w14:textId="77777777" w:rsidR="0050729D" w:rsidRDefault="0050729D">
            <w:pPr>
              <w:rPr>
                <w:rFonts w:cstheme="minorHAnsi"/>
              </w:rPr>
            </w:pPr>
            <w:r>
              <w:rPr>
                <w:rFonts w:cstheme="minorHAnsi"/>
              </w:rPr>
              <w:lastRenderedPageBreak/>
              <w:t>Legal Agreements</w:t>
            </w:r>
          </w:p>
        </w:tc>
        <w:tc>
          <w:tcPr>
            <w:tcW w:w="5648" w:type="dxa"/>
          </w:tcPr>
          <w:p w14:paraId="149DD6A9" w14:textId="77777777" w:rsidR="0050729D" w:rsidRDefault="0050729D">
            <w:pPr>
              <w:rPr>
                <w:rFonts w:cstheme="minorHAnsi"/>
              </w:rPr>
            </w:pPr>
            <w:r w:rsidRPr="00A73E6C">
              <w:rPr>
                <w:rFonts w:cstheme="minorHAnsi"/>
              </w:rPr>
              <w:t xml:space="preserve">The selected SME will sign two agreements with EIT Food: a sub-grant agreement that outlines the conditions of the financial support provided, and a revenue-based financial return agreement that outlines the terms for the repayment of the investment from the SME to EIT Food. </w:t>
            </w:r>
          </w:p>
        </w:tc>
      </w:tr>
      <w:tr w:rsidR="0050729D" w14:paraId="1A95582E" w14:textId="77777777">
        <w:tc>
          <w:tcPr>
            <w:tcW w:w="4405" w:type="dxa"/>
          </w:tcPr>
          <w:p w14:paraId="01232A47" w14:textId="77777777" w:rsidR="0050729D" w:rsidRDefault="0050729D">
            <w:pPr>
              <w:rPr>
                <w:rFonts w:cstheme="minorHAnsi"/>
              </w:rPr>
            </w:pPr>
            <w:r>
              <w:rPr>
                <w:rFonts w:cstheme="minorHAnsi"/>
              </w:rPr>
              <w:t>Cost eligibility</w:t>
            </w:r>
          </w:p>
        </w:tc>
        <w:tc>
          <w:tcPr>
            <w:tcW w:w="5648" w:type="dxa"/>
          </w:tcPr>
          <w:p w14:paraId="3D199C7E" w14:textId="3A668028" w:rsidR="0050729D" w:rsidRDefault="0050729D">
            <w:pPr>
              <w:rPr>
                <w:rFonts w:cstheme="minorHAnsi"/>
              </w:rPr>
            </w:pPr>
            <w:r w:rsidRPr="00A73E6C">
              <w:rPr>
                <w:rFonts w:cstheme="minorHAnsi"/>
              </w:rPr>
              <w:t xml:space="preserve">SME’s will be the sole funding beneficiaries and must allocate the funding to eligible activities </w:t>
            </w:r>
            <w:r>
              <w:rPr>
                <w:rFonts w:cstheme="minorHAnsi"/>
              </w:rPr>
              <w:t xml:space="preserve">up to a maximum of </w:t>
            </w:r>
            <w:r w:rsidR="00EF0CB3">
              <w:rPr>
                <w:rFonts w:cstheme="minorHAnsi"/>
              </w:rPr>
              <w:t>10</w:t>
            </w:r>
            <w:r>
              <w:rPr>
                <w:rFonts w:cstheme="minorHAnsi"/>
              </w:rPr>
              <w:t xml:space="preserve"> months from</w:t>
            </w:r>
            <w:r w:rsidRPr="00A73E6C">
              <w:rPr>
                <w:rFonts w:cstheme="minorHAnsi"/>
              </w:rPr>
              <w:t xml:space="preserve"> the contract signature date </w:t>
            </w:r>
            <w:r>
              <w:rPr>
                <w:rFonts w:cstheme="minorHAnsi"/>
              </w:rPr>
              <w:t>(expected mid-May 2024)</w:t>
            </w:r>
            <w:r w:rsidRPr="00A73E6C">
              <w:rPr>
                <w:rFonts w:cstheme="minorHAnsi"/>
              </w:rPr>
              <w:t xml:space="preserve">.  </w:t>
            </w:r>
          </w:p>
        </w:tc>
      </w:tr>
      <w:tr w:rsidR="0050729D" w14:paraId="0E4CB1E3" w14:textId="77777777">
        <w:tc>
          <w:tcPr>
            <w:tcW w:w="4405" w:type="dxa"/>
          </w:tcPr>
          <w:p w14:paraId="6E64A9CF" w14:textId="77777777" w:rsidR="0050729D" w:rsidRDefault="0050729D">
            <w:pPr>
              <w:rPr>
                <w:rFonts w:cstheme="minorHAnsi"/>
              </w:rPr>
            </w:pPr>
            <w:r>
              <w:rPr>
                <w:rFonts w:cstheme="minorHAnsi"/>
              </w:rPr>
              <w:t>Mandatory documents to be submitted for a complete application</w:t>
            </w:r>
          </w:p>
        </w:tc>
        <w:tc>
          <w:tcPr>
            <w:tcW w:w="5648" w:type="dxa"/>
          </w:tcPr>
          <w:p w14:paraId="26D366E2" w14:textId="77777777" w:rsidR="0050729D" w:rsidRDefault="0050729D">
            <w:pPr>
              <w:pStyle w:val="ListParagraph"/>
              <w:numPr>
                <w:ilvl w:val="0"/>
                <w:numId w:val="10"/>
              </w:numPr>
              <w:rPr>
                <w:rFonts w:cstheme="minorHAnsi"/>
              </w:rPr>
            </w:pPr>
            <w:r w:rsidRPr="00C95CBB">
              <w:rPr>
                <w:rFonts w:cstheme="minorHAnsi"/>
              </w:rPr>
              <w:t xml:space="preserve">A complete application </w:t>
            </w:r>
            <w:proofErr w:type="gramStart"/>
            <w:r w:rsidRPr="00C95CBB">
              <w:rPr>
                <w:rFonts w:cstheme="minorHAnsi"/>
              </w:rPr>
              <w:t>form</w:t>
            </w:r>
            <w:proofErr w:type="gramEnd"/>
          </w:p>
          <w:p w14:paraId="171EA92C" w14:textId="586092FC" w:rsidR="0050729D" w:rsidRPr="00C95CBB" w:rsidRDefault="0050729D">
            <w:pPr>
              <w:pStyle w:val="ListParagraph"/>
              <w:numPr>
                <w:ilvl w:val="0"/>
                <w:numId w:val="10"/>
              </w:numPr>
            </w:pPr>
            <w:r w:rsidRPr="586D8D47">
              <w:t xml:space="preserve">Mandatory documents listed in </w:t>
            </w:r>
            <w:r w:rsidRPr="00E46F10">
              <w:t xml:space="preserve">Section </w:t>
            </w:r>
            <w:r w:rsidR="003724EE" w:rsidRPr="00E46F10">
              <w:t>5.3</w:t>
            </w:r>
          </w:p>
        </w:tc>
      </w:tr>
      <w:tr w:rsidR="0050729D" w14:paraId="3F74D1C2" w14:textId="77777777">
        <w:tc>
          <w:tcPr>
            <w:tcW w:w="4405" w:type="dxa"/>
          </w:tcPr>
          <w:p w14:paraId="2F510E15" w14:textId="77777777" w:rsidR="0050729D" w:rsidRDefault="0050729D">
            <w:pPr>
              <w:rPr>
                <w:rFonts w:cstheme="minorHAnsi"/>
              </w:rPr>
            </w:pPr>
            <w:r>
              <w:rPr>
                <w:rFonts w:cstheme="minorHAnsi"/>
              </w:rPr>
              <w:t>Submission instructions</w:t>
            </w:r>
          </w:p>
        </w:tc>
        <w:tc>
          <w:tcPr>
            <w:tcW w:w="5648" w:type="dxa"/>
          </w:tcPr>
          <w:p w14:paraId="53961372" w14:textId="0691ABB6" w:rsidR="0050729D" w:rsidRPr="00C95CBB" w:rsidRDefault="0050729D">
            <w:pPr>
              <w:rPr>
                <w:rFonts w:cstheme="minorHAnsi"/>
              </w:rPr>
            </w:pPr>
            <w:r>
              <w:rPr>
                <w:rFonts w:cstheme="minorHAnsi"/>
              </w:rPr>
              <w:t xml:space="preserve">Please email your completed application documents in PDF form to </w:t>
            </w:r>
            <w:hyperlink r:id="rId24" w:history="1">
              <w:r w:rsidR="0081797A" w:rsidRPr="00625B3A">
                <w:rPr>
                  <w:rStyle w:val="Hyperlink"/>
                  <w:rFonts w:cstheme="minorHAnsi"/>
                </w:rPr>
                <w:t>fasttrackcall@eitfood.eu</w:t>
              </w:r>
            </w:hyperlink>
            <w:r w:rsidR="0081797A">
              <w:rPr>
                <w:rFonts w:cstheme="minorHAnsi"/>
              </w:rPr>
              <w:t xml:space="preserve"> </w:t>
            </w:r>
          </w:p>
        </w:tc>
      </w:tr>
      <w:bookmarkEnd w:id="5"/>
      <w:bookmarkEnd w:id="6"/>
    </w:tbl>
    <w:p w14:paraId="7F9FD50B" w14:textId="77777777" w:rsidR="0050729D" w:rsidRDefault="0050729D" w:rsidP="0050729D">
      <w:pPr>
        <w:pStyle w:val="Heading2"/>
        <w:spacing w:before="0"/>
        <w:rPr>
          <w:rFonts w:asciiTheme="minorHAnsi" w:hAnsiTheme="minorHAnsi" w:cstheme="minorHAnsi"/>
          <w:sz w:val="22"/>
          <w:szCs w:val="22"/>
        </w:rPr>
      </w:pPr>
    </w:p>
    <w:p w14:paraId="4EAEFA53" w14:textId="77777777" w:rsidR="0050729D" w:rsidRDefault="0050729D" w:rsidP="000D0B77">
      <w:pPr>
        <w:pStyle w:val="paragraph"/>
        <w:spacing w:before="0" w:beforeAutospacing="0" w:after="0" w:afterAutospacing="0"/>
        <w:textAlignment w:val="baseline"/>
        <w:rPr>
          <w:rStyle w:val="eop"/>
          <w:rFonts w:ascii="Calibri" w:hAnsi="Calibri" w:cs="Calibri"/>
          <w:color w:val="000000"/>
          <w:sz w:val="22"/>
          <w:szCs w:val="22"/>
        </w:rPr>
      </w:pPr>
    </w:p>
    <w:p w14:paraId="4B2C9602" w14:textId="31839366" w:rsidR="00F26EF9" w:rsidRPr="00420D50" w:rsidDel="000A45E6" w:rsidRDefault="00A14984" w:rsidP="003C4CCB">
      <w:pPr>
        <w:pStyle w:val="Heading1"/>
        <w:numPr>
          <w:ilvl w:val="0"/>
          <w:numId w:val="17"/>
        </w:numPr>
      </w:pPr>
      <w:bookmarkStart w:id="8" w:name="_Toc158819733"/>
      <w:r w:rsidRPr="00420D50">
        <w:t>Scope</w:t>
      </w:r>
      <w:r w:rsidR="00C57FAD" w:rsidRPr="00420D50">
        <w:t xml:space="preserve"> of the </w:t>
      </w:r>
      <w:r w:rsidR="00F26EF9" w:rsidRPr="00420D50">
        <w:t>Fast Track to Market</w:t>
      </w:r>
      <w:bookmarkEnd w:id="8"/>
    </w:p>
    <w:p w14:paraId="4E1E1993" w14:textId="47AE74A5" w:rsidR="000E1143" w:rsidRDefault="00A9117F" w:rsidP="4BC4EA7E">
      <w:pPr>
        <w:rPr>
          <w:lang w:val="en-GB"/>
        </w:rPr>
      </w:pPr>
      <w:r>
        <w:t>The purpose of the Fast Track to Market is to</w:t>
      </w:r>
      <w:r w:rsidR="00C8663D">
        <w:t xml:space="preserve"> </w:t>
      </w:r>
      <w:r w:rsidR="00C8663D" w:rsidRPr="000B7514">
        <w:rPr>
          <w:b/>
          <w:bCs/>
        </w:rPr>
        <w:t>accelerate the commercial activities of</w:t>
      </w:r>
      <w:r w:rsidR="0007488A" w:rsidRPr="4BC4EA7E">
        <w:rPr>
          <w:lang w:val="en-GB"/>
        </w:rPr>
        <w:t xml:space="preserve"> </w:t>
      </w:r>
      <w:r w:rsidR="00AA65DE" w:rsidRPr="4BC4EA7E">
        <w:rPr>
          <w:b/>
          <w:bCs/>
          <w:lang w:val="en-GB"/>
        </w:rPr>
        <w:t xml:space="preserve">mature </w:t>
      </w:r>
      <w:r w:rsidR="000E5F0C" w:rsidRPr="4BC4EA7E">
        <w:rPr>
          <w:b/>
          <w:bCs/>
          <w:lang w:val="en-GB"/>
        </w:rPr>
        <w:t>Start-ups</w:t>
      </w:r>
      <w:r w:rsidR="00AA65DE" w:rsidRPr="4BC4EA7E">
        <w:rPr>
          <w:b/>
          <w:bCs/>
          <w:lang w:val="en-GB"/>
        </w:rPr>
        <w:t xml:space="preserve"> and SMEs</w:t>
      </w:r>
      <w:r w:rsidR="00AA65DE" w:rsidRPr="4BC4EA7E">
        <w:rPr>
          <w:lang w:val="en-GB"/>
        </w:rPr>
        <w:t xml:space="preserve"> </w:t>
      </w:r>
      <w:r w:rsidR="00AA65DE" w:rsidRPr="00E46F10">
        <w:rPr>
          <w:b/>
          <w:lang w:val="en-GB"/>
        </w:rPr>
        <w:t>result</w:t>
      </w:r>
      <w:r w:rsidR="00C8663D" w:rsidRPr="00E46F10">
        <w:rPr>
          <w:b/>
          <w:lang w:val="en-GB"/>
        </w:rPr>
        <w:t>ing</w:t>
      </w:r>
      <w:r w:rsidR="00AA65DE" w:rsidRPr="00E46F10">
        <w:rPr>
          <w:b/>
          <w:lang w:val="en-GB"/>
        </w:rPr>
        <w:t xml:space="preserve"> in</w:t>
      </w:r>
      <w:r w:rsidR="000E1143" w:rsidRPr="00E46F10">
        <w:rPr>
          <w:b/>
          <w:lang w:val="en-GB"/>
        </w:rPr>
        <w:t xml:space="preserve"> impactful technologies</w:t>
      </w:r>
      <w:r w:rsidR="00E47E4C">
        <w:rPr>
          <w:lang w:val="en-GB"/>
        </w:rPr>
        <w:t xml:space="preserve">, </w:t>
      </w:r>
      <w:r w:rsidR="000E1143" w:rsidRPr="4BC4EA7E">
        <w:rPr>
          <w:lang w:val="en-GB"/>
        </w:rPr>
        <w:t>products</w:t>
      </w:r>
      <w:r w:rsidR="00E46F10">
        <w:rPr>
          <w:lang w:val="en-GB"/>
        </w:rPr>
        <w:t>,</w:t>
      </w:r>
      <w:r w:rsidR="000E1143" w:rsidRPr="4BC4EA7E">
        <w:rPr>
          <w:lang w:val="en-GB"/>
        </w:rPr>
        <w:t xml:space="preserve"> </w:t>
      </w:r>
      <w:r w:rsidR="00FE68BE" w:rsidRPr="4BC4EA7E">
        <w:rPr>
          <w:lang w:val="en-GB"/>
        </w:rPr>
        <w:t xml:space="preserve">and services </w:t>
      </w:r>
      <w:r w:rsidR="00F72F46">
        <w:rPr>
          <w:lang w:val="en-GB"/>
        </w:rPr>
        <w:t>reaching</w:t>
      </w:r>
      <w:r w:rsidR="00F72F46" w:rsidRPr="4BC4EA7E">
        <w:rPr>
          <w:lang w:val="en-GB"/>
        </w:rPr>
        <w:t xml:space="preserve"> </w:t>
      </w:r>
      <w:r w:rsidR="00017F23" w:rsidRPr="4BC4EA7E">
        <w:rPr>
          <w:lang w:val="en-GB"/>
        </w:rPr>
        <w:t xml:space="preserve">the </w:t>
      </w:r>
      <w:r w:rsidR="000E1143" w:rsidRPr="4BC4EA7E">
        <w:rPr>
          <w:lang w:val="en-GB"/>
        </w:rPr>
        <w:t>market</w:t>
      </w:r>
      <w:r w:rsidR="004129DA" w:rsidRPr="4BC4EA7E">
        <w:rPr>
          <w:lang w:val="en-GB"/>
        </w:rPr>
        <w:t xml:space="preserve"> </w:t>
      </w:r>
      <w:r w:rsidR="00F72F46">
        <w:rPr>
          <w:lang w:val="en-GB"/>
        </w:rPr>
        <w:t xml:space="preserve">and scaling further </w:t>
      </w:r>
      <w:r w:rsidR="004129DA" w:rsidRPr="4BC4EA7E">
        <w:rPr>
          <w:lang w:val="en-GB"/>
        </w:rPr>
        <w:t>in the food sector</w:t>
      </w:r>
      <w:r w:rsidR="000E1143" w:rsidRPr="4BC4EA7E">
        <w:rPr>
          <w:lang w:val="en-GB"/>
        </w:rPr>
        <w:t>.</w:t>
      </w:r>
      <w:r w:rsidR="0092144D" w:rsidRPr="4BC4EA7E">
        <w:rPr>
          <w:lang w:val="en-GB"/>
        </w:rPr>
        <w:t xml:space="preserve"> </w:t>
      </w:r>
    </w:p>
    <w:p w14:paraId="3EFE607B" w14:textId="303D4FD2" w:rsidR="00FA5B6E" w:rsidRDefault="00FA5B6E" w:rsidP="00FA5B6E">
      <w:pPr>
        <w:rPr>
          <w:rFonts w:cstheme="minorHAnsi"/>
        </w:rPr>
      </w:pPr>
      <w:r w:rsidRPr="00A73E6C">
        <w:rPr>
          <w:rFonts w:cstheme="minorHAnsi"/>
        </w:rPr>
        <w:t xml:space="preserve">The proposed projects should aim to significantly shorten the time to market while guaranteeing as much as possible a marketable outcome for the SME’s innovation or product. Eligible activities will therefore be related to </w:t>
      </w:r>
      <w:r w:rsidRPr="00FB25A3">
        <w:rPr>
          <w:rFonts w:cstheme="minorHAnsi"/>
          <w:b/>
          <w:bCs/>
        </w:rPr>
        <w:t>post-trial completion and consumer marketing</w:t>
      </w:r>
      <w:r w:rsidR="00577F41" w:rsidRPr="002A5578">
        <w:rPr>
          <w:rFonts w:cstheme="minorHAnsi"/>
        </w:rPr>
        <w:t xml:space="preserve">, </w:t>
      </w:r>
      <w:r w:rsidR="001D4AFF">
        <w:rPr>
          <w:rFonts w:cstheme="minorHAnsi"/>
        </w:rPr>
        <w:t>including but not limited to</w:t>
      </w:r>
      <w:r w:rsidR="00577F41">
        <w:rPr>
          <w:rFonts w:cstheme="minorHAnsi"/>
          <w:b/>
          <w:bCs/>
        </w:rPr>
        <w:t xml:space="preserve"> </w:t>
      </w:r>
      <w:r w:rsidR="00BC37D4">
        <w:rPr>
          <w:rFonts w:cstheme="minorHAnsi"/>
        </w:rPr>
        <w:t xml:space="preserve">sales </w:t>
      </w:r>
      <w:r w:rsidR="000B5BF6">
        <w:rPr>
          <w:rFonts w:cstheme="minorHAnsi"/>
        </w:rPr>
        <w:t>development</w:t>
      </w:r>
      <w:r w:rsidR="00EC73D3">
        <w:rPr>
          <w:rFonts w:cstheme="minorHAnsi"/>
        </w:rPr>
        <w:t xml:space="preserve">, consumer promotions, </w:t>
      </w:r>
      <w:r w:rsidR="009B4C47">
        <w:rPr>
          <w:rFonts w:cstheme="minorHAnsi"/>
        </w:rPr>
        <w:t>merchandising</w:t>
      </w:r>
      <w:r w:rsidR="005842BE">
        <w:rPr>
          <w:rFonts w:cstheme="minorHAnsi"/>
        </w:rPr>
        <w:t xml:space="preserve">, trade </w:t>
      </w:r>
      <w:r w:rsidR="00FB68E4">
        <w:rPr>
          <w:rFonts w:cstheme="minorHAnsi"/>
        </w:rPr>
        <w:t>advertising,</w:t>
      </w:r>
      <w:r w:rsidR="001D4AFF">
        <w:rPr>
          <w:rFonts w:cstheme="minorHAnsi"/>
        </w:rPr>
        <w:t xml:space="preserve"> </w:t>
      </w:r>
      <w:r w:rsidR="003352D0">
        <w:rPr>
          <w:rFonts w:cstheme="minorHAnsi"/>
        </w:rPr>
        <w:t>establishment</w:t>
      </w:r>
      <w:r w:rsidR="004A7199">
        <w:rPr>
          <w:rFonts w:cstheme="minorHAnsi"/>
        </w:rPr>
        <w:t xml:space="preserve"> of </w:t>
      </w:r>
      <w:r w:rsidR="00414A2A">
        <w:rPr>
          <w:rFonts w:cstheme="minorHAnsi"/>
        </w:rPr>
        <w:t>distribution</w:t>
      </w:r>
      <w:r w:rsidR="007956D4">
        <w:rPr>
          <w:rFonts w:cstheme="minorHAnsi"/>
        </w:rPr>
        <w:t xml:space="preserve"> channels</w:t>
      </w:r>
      <w:r w:rsidR="00E24514">
        <w:rPr>
          <w:rFonts w:cstheme="minorHAnsi"/>
        </w:rPr>
        <w:t>, etc</w:t>
      </w:r>
      <w:r w:rsidRPr="00A73E6C">
        <w:rPr>
          <w:rFonts w:cstheme="minorHAnsi"/>
        </w:rPr>
        <w:t xml:space="preserve">. </w:t>
      </w:r>
    </w:p>
    <w:p w14:paraId="038FD156" w14:textId="398AF4C6" w:rsidR="007B3038" w:rsidRDefault="00402A83" w:rsidP="000E1143">
      <w:pPr>
        <w:rPr>
          <w:rFonts w:cstheme="minorHAnsi"/>
          <w:lang w:val="en-GB"/>
        </w:rPr>
      </w:pPr>
      <w:r>
        <w:rPr>
          <w:rFonts w:cstheme="minorHAnsi"/>
          <w:lang w:val="en-GB"/>
        </w:rPr>
        <w:t xml:space="preserve">We invite you to apply to the Fast Track to Market if your company fits the following </w:t>
      </w:r>
      <w:r w:rsidR="00A14984">
        <w:rPr>
          <w:rFonts w:cstheme="minorHAnsi"/>
          <w:lang w:val="en-GB"/>
        </w:rPr>
        <w:t>scope:</w:t>
      </w:r>
    </w:p>
    <w:p w14:paraId="6DE09DA5" w14:textId="01F6427C" w:rsidR="00A8761C" w:rsidRDefault="00BD45B8">
      <w:pPr>
        <w:pStyle w:val="ListParagraph"/>
        <w:numPr>
          <w:ilvl w:val="0"/>
          <w:numId w:val="12"/>
        </w:numPr>
        <w:rPr>
          <w:rFonts w:cstheme="minorHAnsi"/>
        </w:rPr>
      </w:pPr>
      <w:r w:rsidRPr="00A14984">
        <w:rPr>
          <w:rFonts w:cstheme="minorHAnsi"/>
        </w:rPr>
        <w:t xml:space="preserve">The focus of </w:t>
      </w:r>
      <w:r w:rsidR="00B2671A">
        <w:rPr>
          <w:rFonts w:cstheme="minorHAnsi"/>
        </w:rPr>
        <w:t>your</w:t>
      </w:r>
      <w:r w:rsidRPr="00A14984">
        <w:rPr>
          <w:rFonts w:cstheme="minorHAnsi"/>
        </w:rPr>
        <w:t xml:space="preserve"> Start-up </w:t>
      </w:r>
      <w:r w:rsidR="00B2671A">
        <w:rPr>
          <w:rFonts w:cstheme="minorHAnsi"/>
        </w:rPr>
        <w:t>or</w:t>
      </w:r>
      <w:r w:rsidRPr="00A14984">
        <w:rPr>
          <w:rFonts w:cstheme="minorHAnsi"/>
        </w:rPr>
        <w:t xml:space="preserve"> SMEs</w:t>
      </w:r>
      <w:r w:rsidR="00484A7C" w:rsidRPr="00A14984">
        <w:rPr>
          <w:rFonts w:cstheme="minorHAnsi"/>
        </w:rPr>
        <w:t>’</w:t>
      </w:r>
      <w:r w:rsidRPr="00A14984">
        <w:rPr>
          <w:rFonts w:cstheme="minorHAnsi"/>
        </w:rPr>
        <w:t xml:space="preserve"> commercial activities should directly contribute to </w:t>
      </w:r>
      <w:hyperlink r:id="rId25" w:history="1">
        <w:r w:rsidRPr="00B85946">
          <w:rPr>
            <w:rStyle w:val="Hyperlink"/>
            <w:rFonts w:cstheme="minorHAnsi"/>
            <w:u w:val="single"/>
          </w:rPr>
          <w:t>EIT Food’s missions</w:t>
        </w:r>
      </w:hyperlink>
      <w:r w:rsidRPr="00A14984">
        <w:rPr>
          <w:rFonts w:cstheme="minorHAnsi"/>
        </w:rPr>
        <w:t xml:space="preserve">. </w:t>
      </w:r>
    </w:p>
    <w:p w14:paraId="31349E23" w14:textId="2B0ACA18" w:rsidR="00FA5B6E" w:rsidRDefault="1C176808" w:rsidP="586D8D47">
      <w:pPr>
        <w:pStyle w:val="ListParagraph"/>
        <w:numPr>
          <w:ilvl w:val="0"/>
          <w:numId w:val="12"/>
        </w:numPr>
      </w:pPr>
      <w:r w:rsidRPr="586D8D47">
        <w:t>A</w:t>
      </w:r>
      <w:r w:rsidR="143A43C5" w:rsidRPr="586D8D47">
        <w:t xml:space="preserve"> short-term </w:t>
      </w:r>
      <w:r w:rsidRPr="586D8D47">
        <w:t>project</w:t>
      </w:r>
      <w:r w:rsidR="143A43C5" w:rsidRPr="586D8D47">
        <w:t xml:space="preserve"> (</w:t>
      </w:r>
      <w:r w:rsidR="00FC1096">
        <w:t>up to 10</w:t>
      </w:r>
      <w:r w:rsidR="143A43C5" w:rsidRPr="586D8D47">
        <w:t xml:space="preserve"> months) </w:t>
      </w:r>
      <w:r w:rsidRPr="586D8D47">
        <w:t>can help your company</w:t>
      </w:r>
      <w:r w:rsidR="143A43C5" w:rsidRPr="586D8D47">
        <w:t xml:space="preserve"> deliver on an existing business case with a high potential to generate B2B</w:t>
      </w:r>
      <w:r w:rsidR="00A6429D">
        <w:t>/B2C</w:t>
      </w:r>
      <w:r w:rsidR="143A43C5" w:rsidRPr="586D8D47">
        <w:t xml:space="preserve"> sales for new or improved technologies and/or existing food products and services</w:t>
      </w:r>
      <w:r w:rsidR="4A6FCE5D" w:rsidRPr="586D8D47">
        <w:t>, in a new or existing market</w:t>
      </w:r>
      <w:r w:rsidR="143A43C5" w:rsidRPr="586D8D47">
        <w:t xml:space="preserve">. </w:t>
      </w:r>
      <w:r w:rsidR="6A2513AA" w:rsidRPr="586D8D47">
        <w:t>Generally</w:t>
      </w:r>
      <w:r w:rsidR="052521C8" w:rsidRPr="586D8D47">
        <w:t>,</w:t>
      </w:r>
      <w:r w:rsidR="6A2513AA" w:rsidRPr="586D8D47">
        <w:t xml:space="preserve"> this requires </w:t>
      </w:r>
      <w:r w:rsidR="11D9F36B" w:rsidRPr="586D8D47">
        <w:t xml:space="preserve">a minimum TRL 7, and/or MRL </w:t>
      </w:r>
      <w:r w:rsidR="26C0C744" w:rsidRPr="586D8D47">
        <w:t>8</w:t>
      </w:r>
      <w:r w:rsidR="052521C8" w:rsidRPr="586D8D47">
        <w:t>.</w:t>
      </w:r>
    </w:p>
    <w:p w14:paraId="51D2238D" w14:textId="50770578" w:rsidR="009D4EA5" w:rsidRPr="00361F86" w:rsidRDefault="00943E04">
      <w:pPr>
        <w:pStyle w:val="ListParagraph"/>
        <w:numPr>
          <w:ilvl w:val="0"/>
          <w:numId w:val="12"/>
        </w:numPr>
        <w:rPr>
          <w:rFonts w:cstheme="minorHAnsi"/>
        </w:rPr>
      </w:pPr>
      <w:r>
        <w:rPr>
          <w:rFonts w:cstheme="minorHAnsi"/>
        </w:rPr>
        <w:t>Your company</w:t>
      </w:r>
      <w:r w:rsidRPr="009D4EA5">
        <w:rPr>
          <w:rFonts w:cstheme="minorHAnsi"/>
        </w:rPr>
        <w:t xml:space="preserve"> </w:t>
      </w:r>
      <w:r w:rsidR="009D4EA5" w:rsidRPr="009D4EA5">
        <w:rPr>
          <w:rFonts w:cstheme="minorHAnsi"/>
        </w:rPr>
        <w:t xml:space="preserve">must be </w:t>
      </w:r>
      <w:r w:rsidR="00D35A61">
        <w:rPr>
          <w:rFonts w:cstheme="minorHAnsi"/>
        </w:rPr>
        <w:t xml:space="preserve">currently </w:t>
      </w:r>
      <w:r w:rsidR="009D4EA5" w:rsidRPr="009D4EA5">
        <w:rPr>
          <w:rFonts w:cstheme="minorHAnsi"/>
        </w:rPr>
        <w:t xml:space="preserve">working on a </w:t>
      </w:r>
      <w:r w:rsidR="009D4EA5" w:rsidRPr="009D4EA5">
        <w:rPr>
          <w:rFonts w:cstheme="minorHAnsi"/>
          <w:b/>
          <w:bCs/>
          <w:u w:val="single"/>
        </w:rPr>
        <w:t>business case</w:t>
      </w:r>
      <w:r w:rsidR="009D4EA5" w:rsidRPr="009D4EA5">
        <w:rPr>
          <w:rFonts w:cstheme="minorHAnsi"/>
          <w:b/>
          <w:bCs/>
        </w:rPr>
        <w:t xml:space="preserve"> </w:t>
      </w:r>
      <w:r w:rsidR="009D4EA5" w:rsidRPr="009D4EA5">
        <w:rPr>
          <w:rFonts w:cstheme="minorHAnsi"/>
        </w:rPr>
        <w:t xml:space="preserve">for </w:t>
      </w:r>
      <w:r w:rsidR="0089383A">
        <w:rPr>
          <w:rFonts w:cstheme="minorHAnsi"/>
        </w:rPr>
        <w:t>accelerating</w:t>
      </w:r>
      <w:r w:rsidR="00AB4758" w:rsidRPr="009D4EA5">
        <w:rPr>
          <w:rFonts w:cstheme="minorHAnsi"/>
        </w:rPr>
        <w:t xml:space="preserve"> </w:t>
      </w:r>
      <w:r w:rsidR="009D4EA5" w:rsidRPr="009D4EA5">
        <w:rPr>
          <w:rFonts w:cstheme="minorHAnsi"/>
        </w:rPr>
        <w:t xml:space="preserve">a </w:t>
      </w:r>
      <w:r w:rsidR="0009221A" w:rsidRPr="0081797A">
        <w:rPr>
          <w:rFonts w:cstheme="minorHAnsi"/>
          <w:b/>
          <w:bCs/>
        </w:rPr>
        <w:t>p</w:t>
      </w:r>
      <w:r w:rsidR="009D4EA5" w:rsidRPr="0081797A">
        <w:rPr>
          <w:rFonts w:cstheme="minorHAnsi"/>
          <w:b/>
          <w:bCs/>
        </w:rPr>
        <w:t xml:space="preserve">roduct </w:t>
      </w:r>
      <w:r w:rsidR="0089383A" w:rsidRPr="0081797A">
        <w:rPr>
          <w:rFonts w:cstheme="minorHAnsi"/>
          <w:b/>
          <w:bCs/>
        </w:rPr>
        <w:t>to the market</w:t>
      </w:r>
      <w:r w:rsidR="0089383A" w:rsidRPr="0081797A">
        <w:rPr>
          <w:rFonts w:cstheme="minorHAnsi"/>
        </w:rPr>
        <w:t xml:space="preserve"> </w:t>
      </w:r>
      <w:proofErr w:type="gramStart"/>
      <w:r w:rsidR="00D745A2" w:rsidRPr="0081797A">
        <w:rPr>
          <w:rFonts w:cstheme="minorHAnsi"/>
          <w:b/>
          <w:bCs/>
        </w:rPr>
        <w:t>in</w:t>
      </w:r>
      <w:r w:rsidR="00D745A2">
        <w:rPr>
          <w:rFonts w:cstheme="minorHAnsi"/>
          <w:b/>
          <w:bCs/>
        </w:rPr>
        <w:t xml:space="preserve"> order </w:t>
      </w:r>
      <w:r w:rsidR="004B12C9">
        <w:rPr>
          <w:rFonts w:cstheme="minorHAnsi"/>
          <w:b/>
          <w:bCs/>
        </w:rPr>
        <w:t>to</w:t>
      </w:r>
      <w:proofErr w:type="gramEnd"/>
      <w:r w:rsidR="004B12C9">
        <w:rPr>
          <w:rFonts w:cstheme="minorHAnsi"/>
          <w:b/>
          <w:bCs/>
        </w:rPr>
        <w:t xml:space="preserve"> generate </w:t>
      </w:r>
      <w:r w:rsidR="009D4EA5" w:rsidRPr="009D4EA5">
        <w:rPr>
          <w:rFonts w:cstheme="minorHAnsi"/>
          <w:b/>
          <w:bCs/>
        </w:rPr>
        <w:t>sales</w:t>
      </w:r>
      <w:r w:rsidR="0089383A">
        <w:rPr>
          <w:rFonts w:cstheme="minorHAnsi"/>
          <w:b/>
          <w:bCs/>
        </w:rPr>
        <w:t xml:space="preserve">, </w:t>
      </w:r>
      <w:r w:rsidR="0074709F">
        <w:rPr>
          <w:rFonts w:cstheme="minorHAnsi"/>
          <w:b/>
          <w:bCs/>
        </w:rPr>
        <w:t xml:space="preserve">or </w:t>
      </w:r>
      <w:r w:rsidR="00B85946">
        <w:rPr>
          <w:rFonts w:cstheme="minorHAnsi"/>
          <w:b/>
          <w:bCs/>
        </w:rPr>
        <w:t>to</w:t>
      </w:r>
      <w:r w:rsidR="0074709F">
        <w:rPr>
          <w:rFonts w:cstheme="minorHAnsi"/>
          <w:b/>
          <w:bCs/>
        </w:rPr>
        <w:t xml:space="preserve"> increase </w:t>
      </w:r>
      <w:r w:rsidR="0001188C">
        <w:rPr>
          <w:rFonts w:cstheme="minorHAnsi"/>
          <w:b/>
          <w:bCs/>
        </w:rPr>
        <w:t>sales of a product already on the market</w:t>
      </w:r>
      <w:r w:rsidR="009D4EA5" w:rsidRPr="009D4EA5">
        <w:rPr>
          <w:rFonts w:cstheme="minorHAnsi"/>
          <w:b/>
          <w:bCs/>
        </w:rPr>
        <w:t xml:space="preserve">. </w:t>
      </w:r>
      <w:r w:rsidR="009D4EA5" w:rsidRPr="009D4EA5">
        <w:rPr>
          <w:rFonts w:cstheme="minorHAnsi"/>
        </w:rPr>
        <w:t xml:space="preserve">The </w:t>
      </w:r>
      <w:r w:rsidR="00347438">
        <w:rPr>
          <w:rFonts w:cstheme="minorHAnsi"/>
        </w:rPr>
        <w:t xml:space="preserve">funded </w:t>
      </w:r>
      <w:r w:rsidR="00A45FC4">
        <w:rPr>
          <w:rFonts w:cstheme="minorHAnsi"/>
        </w:rPr>
        <w:t xml:space="preserve">activities </w:t>
      </w:r>
      <w:r w:rsidR="00347438">
        <w:rPr>
          <w:rFonts w:cstheme="minorHAnsi"/>
        </w:rPr>
        <w:t>necessary to achieve this</w:t>
      </w:r>
      <w:r w:rsidR="009D4EA5" w:rsidRPr="009D4EA5">
        <w:rPr>
          <w:rFonts w:cstheme="minorHAnsi"/>
        </w:rPr>
        <w:t xml:space="preserve"> must be schedule</w:t>
      </w:r>
      <w:r w:rsidR="00E16F89">
        <w:rPr>
          <w:rFonts w:cstheme="minorHAnsi"/>
        </w:rPr>
        <w:t>-</w:t>
      </w:r>
      <w:r w:rsidR="009D4EA5" w:rsidRPr="009D4EA5">
        <w:rPr>
          <w:rFonts w:cstheme="minorHAnsi"/>
        </w:rPr>
        <w:t xml:space="preserve">driven with a clear start and end date and aimed at achieving an invoice based sales transaction </w:t>
      </w:r>
      <w:r w:rsidR="00853FDB">
        <w:rPr>
          <w:rFonts w:cstheme="minorHAnsi"/>
        </w:rPr>
        <w:t>within 10</w:t>
      </w:r>
      <w:r w:rsidR="009D4EA5" w:rsidRPr="009D4EA5">
        <w:rPr>
          <w:rFonts w:cstheme="minorHAnsi"/>
        </w:rPr>
        <w:t xml:space="preserve"> months</w:t>
      </w:r>
      <w:r w:rsidR="00853FDB">
        <w:rPr>
          <w:rFonts w:cstheme="minorHAnsi"/>
        </w:rPr>
        <w:t xml:space="preserve"> of the project start date</w:t>
      </w:r>
      <w:r w:rsidR="009D4EA5" w:rsidRPr="009D4EA5">
        <w:rPr>
          <w:rFonts w:cstheme="minorHAnsi"/>
        </w:rPr>
        <w:t xml:space="preserve">. </w:t>
      </w:r>
    </w:p>
    <w:p w14:paraId="5C7A8946" w14:textId="096BD9A0" w:rsidR="00213187" w:rsidRPr="00213187" w:rsidRDefault="003842B8">
      <w:pPr>
        <w:pStyle w:val="ListParagraph"/>
        <w:numPr>
          <w:ilvl w:val="0"/>
          <w:numId w:val="12"/>
        </w:numPr>
        <w:rPr>
          <w:rFonts w:cstheme="minorHAnsi"/>
        </w:rPr>
      </w:pPr>
      <w:r>
        <w:rPr>
          <w:rFonts w:cstheme="minorHAnsi"/>
        </w:rPr>
        <w:t>Your company has</w:t>
      </w:r>
      <w:r w:rsidR="00FA5B6E" w:rsidRPr="00FA5B6E">
        <w:rPr>
          <w:rFonts w:cstheme="minorHAnsi"/>
        </w:rPr>
        <w:t xml:space="preserve"> an existing track record of </w:t>
      </w:r>
      <w:r w:rsidR="00070616">
        <w:rPr>
          <w:rFonts w:cstheme="minorHAnsi"/>
        </w:rPr>
        <w:t xml:space="preserve">a tested </w:t>
      </w:r>
      <w:r w:rsidR="00B51F42">
        <w:rPr>
          <w:rFonts w:cstheme="minorHAnsi"/>
        </w:rPr>
        <w:t xml:space="preserve">proof of concept, </w:t>
      </w:r>
      <w:r w:rsidR="00FA5B6E" w:rsidRPr="00FA5B6E">
        <w:rPr>
          <w:rFonts w:cstheme="minorHAnsi"/>
        </w:rPr>
        <w:t>product development, innovation</w:t>
      </w:r>
      <w:r w:rsidR="00D25571">
        <w:rPr>
          <w:rFonts w:cstheme="minorHAnsi"/>
        </w:rPr>
        <w:t>,</w:t>
      </w:r>
      <w:r w:rsidR="00FA5B6E" w:rsidRPr="00FA5B6E">
        <w:rPr>
          <w:rFonts w:cstheme="minorHAnsi"/>
        </w:rPr>
        <w:t xml:space="preserve"> and sales that increase revenue and turnover</w:t>
      </w:r>
      <w:r>
        <w:rPr>
          <w:rFonts w:cstheme="minorHAnsi"/>
        </w:rPr>
        <w:t>.</w:t>
      </w:r>
    </w:p>
    <w:p w14:paraId="41A0F8CD" w14:textId="07FEC7A0" w:rsidR="00CF7BE7" w:rsidRPr="00213187" w:rsidRDefault="55E02E61" w:rsidP="00CF7BE7">
      <w:pPr>
        <w:pStyle w:val="ListParagraph"/>
        <w:numPr>
          <w:ilvl w:val="0"/>
          <w:numId w:val="12"/>
        </w:numPr>
      </w:pPr>
      <w:r w:rsidRPr="586D8D47">
        <w:t>Your company can d</w:t>
      </w:r>
      <w:r w:rsidR="20C9EFEB" w:rsidRPr="586D8D47">
        <w:t xml:space="preserve">eliver </w:t>
      </w:r>
      <w:r w:rsidR="007C7F0A">
        <w:t>a new technology/</w:t>
      </w:r>
      <w:r w:rsidR="20C9EFEB" w:rsidRPr="586D8D47">
        <w:t xml:space="preserve">product/service/solution </w:t>
      </w:r>
      <w:r w:rsidR="5845034C" w:rsidRPr="586D8D47">
        <w:t xml:space="preserve">to the market </w:t>
      </w:r>
      <w:r w:rsidR="00A152C8">
        <w:t xml:space="preserve">within </w:t>
      </w:r>
      <w:r w:rsidR="00783892">
        <w:t>10</w:t>
      </w:r>
      <w:r w:rsidR="00A152C8">
        <w:t xml:space="preserve"> months of the project start</w:t>
      </w:r>
      <w:r w:rsidR="20C9EFEB" w:rsidRPr="586D8D47">
        <w:t xml:space="preserve"> </w:t>
      </w:r>
      <w:r w:rsidR="5845034C" w:rsidRPr="586D8D47">
        <w:t>with proof of sales</w:t>
      </w:r>
      <w:r w:rsidR="00A152C8">
        <w:t xml:space="preserve"> amounting to a minimum of 10.000 EUR, according to EIT </w:t>
      </w:r>
      <w:r w:rsidR="00240988">
        <w:t>requirements for marketed innovations.</w:t>
      </w:r>
    </w:p>
    <w:p w14:paraId="687154F4" w14:textId="7376F311" w:rsidR="004C4F4B" w:rsidRPr="00420D50" w:rsidRDefault="00380449" w:rsidP="003C4CCB">
      <w:pPr>
        <w:pStyle w:val="Heading1"/>
        <w:numPr>
          <w:ilvl w:val="0"/>
          <w:numId w:val="17"/>
        </w:numPr>
      </w:pPr>
      <w:bookmarkStart w:id="9" w:name="_Toc158819734"/>
      <w:r>
        <w:t xml:space="preserve">Description of </w:t>
      </w:r>
      <w:r w:rsidR="004F7F52">
        <w:t xml:space="preserve">Role &amp; </w:t>
      </w:r>
      <w:r w:rsidR="00677774" w:rsidRPr="00420D50">
        <w:t>Profile</w:t>
      </w:r>
      <w:bookmarkEnd w:id="9"/>
    </w:p>
    <w:p w14:paraId="6EC223C1" w14:textId="3FB1B4F3" w:rsidR="00546494" w:rsidRDefault="00BD45B8" w:rsidP="000E1143">
      <w:pPr>
        <w:rPr>
          <w:rFonts w:cstheme="minorHAnsi"/>
        </w:rPr>
      </w:pPr>
      <w:r w:rsidRPr="00A73E6C">
        <w:rPr>
          <w:rFonts w:cstheme="minorHAnsi"/>
        </w:rPr>
        <w:t>Th</w:t>
      </w:r>
      <w:r w:rsidR="00531735">
        <w:rPr>
          <w:rFonts w:cstheme="minorHAnsi"/>
        </w:rPr>
        <w:t xml:space="preserve">e Fast Track to Market </w:t>
      </w:r>
      <w:r w:rsidRPr="00A73E6C">
        <w:rPr>
          <w:rFonts w:cstheme="minorHAnsi"/>
        </w:rPr>
        <w:t xml:space="preserve">is open to all </w:t>
      </w:r>
      <w:r w:rsidR="00F551C9" w:rsidRPr="00E2531A">
        <w:rPr>
          <w:rFonts w:cstheme="minorHAnsi"/>
          <w:b/>
          <w:bCs/>
        </w:rPr>
        <w:t>eligible Start-ups and SMEs</w:t>
      </w:r>
      <w:r w:rsidR="00F551C9">
        <w:rPr>
          <w:rFonts w:cstheme="minorHAnsi"/>
        </w:rPr>
        <w:t xml:space="preserve"> according to the eligibility criteria defined in </w:t>
      </w:r>
      <w:r w:rsidR="003C1076" w:rsidRPr="00E16F89">
        <w:rPr>
          <w:rFonts w:cstheme="minorHAnsi"/>
        </w:rPr>
        <w:t>S</w:t>
      </w:r>
      <w:r w:rsidR="00705E28" w:rsidRPr="00E16F89">
        <w:rPr>
          <w:rFonts w:cstheme="minorHAnsi"/>
        </w:rPr>
        <w:t xml:space="preserve">ection </w:t>
      </w:r>
      <w:r w:rsidR="00F247A3" w:rsidRPr="00E16F89">
        <w:rPr>
          <w:rFonts w:cstheme="minorHAnsi"/>
        </w:rPr>
        <w:t>6.1</w:t>
      </w:r>
      <w:r w:rsidR="00705E28" w:rsidRPr="00E16F89">
        <w:rPr>
          <w:rFonts w:cstheme="minorHAnsi"/>
        </w:rPr>
        <w:t>.</w:t>
      </w:r>
      <w:r w:rsidR="00481024" w:rsidRPr="00F247A3">
        <w:rPr>
          <w:rFonts w:cstheme="minorHAnsi"/>
        </w:rPr>
        <w:t xml:space="preserve"> We</w:t>
      </w:r>
      <w:r w:rsidR="00481024">
        <w:rPr>
          <w:rFonts w:cstheme="minorHAnsi"/>
        </w:rPr>
        <w:t xml:space="preserve"> welcome applicants </w:t>
      </w:r>
      <w:r w:rsidR="00B216E8">
        <w:rPr>
          <w:rFonts w:cstheme="minorHAnsi"/>
        </w:rPr>
        <w:t>who are already affiliated with EIT Food</w:t>
      </w:r>
      <w:r w:rsidR="00F8186C">
        <w:rPr>
          <w:rFonts w:cstheme="minorHAnsi"/>
        </w:rPr>
        <w:t xml:space="preserve"> (</w:t>
      </w:r>
      <w:r w:rsidR="00E16F89">
        <w:rPr>
          <w:rFonts w:cstheme="minorHAnsi"/>
        </w:rPr>
        <w:t xml:space="preserve">e.g., </w:t>
      </w:r>
      <w:r w:rsidR="00F8186C">
        <w:rPr>
          <w:rFonts w:cstheme="minorHAnsi"/>
        </w:rPr>
        <w:t>FAN and Rising Food Stars)</w:t>
      </w:r>
      <w:r w:rsidR="00B216E8">
        <w:rPr>
          <w:rFonts w:cstheme="minorHAnsi"/>
        </w:rPr>
        <w:t xml:space="preserve"> as well as </w:t>
      </w:r>
      <w:r w:rsidR="00C5333D">
        <w:rPr>
          <w:rFonts w:cstheme="minorHAnsi"/>
        </w:rPr>
        <w:t>new companies who want to work with us.</w:t>
      </w:r>
      <w:r w:rsidR="00546494" w:rsidRPr="00546494">
        <w:rPr>
          <w:rFonts w:cstheme="minorHAnsi"/>
        </w:rPr>
        <w:t xml:space="preserve"> </w:t>
      </w:r>
    </w:p>
    <w:p w14:paraId="35A2B50A" w14:textId="23F354E6" w:rsidR="000A3983" w:rsidRDefault="00546494" w:rsidP="0050729D">
      <w:pPr>
        <w:rPr>
          <w:rFonts w:cstheme="minorHAnsi"/>
        </w:rPr>
      </w:pPr>
      <w:r w:rsidRPr="00D55B6A">
        <w:rPr>
          <w:rFonts w:cstheme="minorHAnsi"/>
        </w:rPr>
        <w:t>We are looking for fast-moving</w:t>
      </w:r>
      <w:r w:rsidR="00FE29CC">
        <w:rPr>
          <w:rFonts w:cstheme="minorHAnsi"/>
        </w:rPr>
        <w:t>,</w:t>
      </w:r>
      <w:r w:rsidRPr="00D55B6A">
        <w:rPr>
          <w:rFonts w:cstheme="minorHAnsi"/>
        </w:rPr>
        <w:t xml:space="preserve"> </w:t>
      </w:r>
      <w:r w:rsidR="00FE29CC">
        <w:rPr>
          <w:rFonts w:cstheme="minorHAnsi"/>
        </w:rPr>
        <w:t>mature start-ups</w:t>
      </w:r>
      <w:r w:rsidRPr="00D55B6A">
        <w:rPr>
          <w:rFonts w:cstheme="minorHAnsi"/>
        </w:rPr>
        <w:t>. They are often perfectly aware of the missing pieces of knowledge, technology</w:t>
      </w:r>
      <w:r w:rsidR="00AD1A83">
        <w:rPr>
          <w:rFonts w:cstheme="minorHAnsi"/>
        </w:rPr>
        <w:t>,</w:t>
      </w:r>
      <w:r w:rsidRPr="00D55B6A">
        <w:rPr>
          <w:rFonts w:cstheme="minorHAnsi"/>
        </w:rPr>
        <w:t xml:space="preserve"> or market validation needed to deliver concrete and marketable products, services</w:t>
      </w:r>
      <w:r w:rsidR="00AD1A83">
        <w:rPr>
          <w:rFonts w:cstheme="minorHAnsi"/>
        </w:rPr>
        <w:t>,</w:t>
      </w:r>
      <w:r w:rsidRPr="00D55B6A">
        <w:rPr>
          <w:rFonts w:cstheme="minorHAnsi"/>
        </w:rPr>
        <w:t xml:space="preserve"> or </w:t>
      </w:r>
      <w:r w:rsidRPr="00D55B6A">
        <w:rPr>
          <w:rFonts w:cstheme="minorHAnsi"/>
        </w:rPr>
        <w:lastRenderedPageBreak/>
        <w:t>processes. Their B2B</w:t>
      </w:r>
      <w:r w:rsidR="00E80BAC">
        <w:rPr>
          <w:rFonts w:cstheme="minorHAnsi"/>
        </w:rPr>
        <w:t>/B2C</w:t>
      </w:r>
      <w:r w:rsidRPr="00D55B6A">
        <w:rPr>
          <w:rFonts w:cstheme="minorHAnsi"/>
        </w:rPr>
        <w:t xml:space="preserve"> technological solutions are close to the market. The extra support </w:t>
      </w:r>
      <w:r w:rsidR="00187A35">
        <w:rPr>
          <w:rFonts w:cstheme="minorHAnsi"/>
        </w:rPr>
        <w:t xml:space="preserve">that </w:t>
      </w:r>
      <w:r w:rsidRPr="00D55B6A">
        <w:rPr>
          <w:rFonts w:cstheme="minorHAnsi"/>
        </w:rPr>
        <w:t xml:space="preserve">EIT Food </w:t>
      </w:r>
      <w:r w:rsidR="00187A35">
        <w:rPr>
          <w:rFonts w:cstheme="minorHAnsi"/>
        </w:rPr>
        <w:t>offers via</w:t>
      </w:r>
      <w:r w:rsidR="00607CE4">
        <w:rPr>
          <w:rFonts w:cstheme="minorHAnsi"/>
        </w:rPr>
        <w:t xml:space="preserve"> association with</w:t>
      </w:r>
      <w:r w:rsidR="00555A18">
        <w:rPr>
          <w:rFonts w:cstheme="minorHAnsi"/>
        </w:rPr>
        <w:t xml:space="preserve"> t</w:t>
      </w:r>
      <w:r w:rsidR="00555A18" w:rsidRPr="00555A18">
        <w:rPr>
          <w:rFonts w:cstheme="minorHAnsi"/>
        </w:rPr>
        <w:t>he world’s largest and most dynamic food innovation community</w:t>
      </w:r>
      <w:r w:rsidR="00555A18">
        <w:rPr>
          <w:rFonts w:cstheme="minorHAnsi"/>
        </w:rPr>
        <w:t xml:space="preserve"> </w:t>
      </w:r>
      <w:r w:rsidRPr="00D55B6A">
        <w:rPr>
          <w:rFonts w:cstheme="minorHAnsi"/>
        </w:rPr>
        <w:t>can speed up the marketability and potential commercial success</w:t>
      </w:r>
      <w:r w:rsidR="00607CE4">
        <w:rPr>
          <w:rFonts w:cstheme="minorHAnsi"/>
        </w:rPr>
        <w:t xml:space="preserve"> of </w:t>
      </w:r>
      <w:r w:rsidR="00832531">
        <w:rPr>
          <w:rFonts w:cstheme="minorHAnsi"/>
        </w:rPr>
        <w:t>their</w:t>
      </w:r>
      <w:r w:rsidR="00607CE4">
        <w:rPr>
          <w:rFonts w:cstheme="minorHAnsi"/>
        </w:rPr>
        <w:t xml:space="preserve"> solutions</w:t>
      </w:r>
      <w:r w:rsidRPr="00D55B6A">
        <w:rPr>
          <w:rFonts w:cstheme="minorHAnsi"/>
        </w:rPr>
        <w:t>.</w:t>
      </w:r>
    </w:p>
    <w:p w14:paraId="63220E49" w14:textId="3D78E773" w:rsidR="00C31D25" w:rsidRDefault="009D2EE3" w:rsidP="009D2EE3">
      <w:pPr>
        <w:pStyle w:val="Heading1"/>
        <w:numPr>
          <w:ilvl w:val="0"/>
          <w:numId w:val="17"/>
        </w:numPr>
        <w:ind w:left="360"/>
      </w:pPr>
      <w:bookmarkStart w:id="10" w:name="_Toc158819735"/>
      <w:r w:rsidRPr="00420D50">
        <w:t xml:space="preserve">Required Impact </w:t>
      </w:r>
      <w:r>
        <w:t>Tracking</w:t>
      </w:r>
      <w:r w:rsidRPr="00420D50">
        <w:t xml:space="preserve"> and Deliverables</w:t>
      </w:r>
      <w:bookmarkEnd w:id="10"/>
    </w:p>
    <w:p w14:paraId="4B05A1BF" w14:textId="0D7487F8" w:rsidR="00C31D25" w:rsidRPr="00C31D25" w:rsidRDefault="00C31D25" w:rsidP="009D2EE3">
      <w:pPr>
        <w:rPr>
          <w:b/>
          <w:bCs/>
        </w:rPr>
      </w:pPr>
      <w:r w:rsidRPr="00C31D25">
        <w:rPr>
          <w:b/>
          <w:bCs/>
        </w:rPr>
        <w:t>Knowledge Performance Indicators:</w:t>
      </w:r>
    </w:p>
    <w:p w14:paraId="62D8B207" w14:textId="2E124B2F" w:rsidR="009D2EE3" w:rsidRDefault="009D2EE3" w:rsidP="009D2EE3">
      <w:r>
        <w:t xml:space="preserve">All </w:t>
      </w:r>
      <w:r>
        <w:rPr>
          <w:b/>
          <w:bCs/>
        </w:rPr>
        <w:t xml:space="preserve">EIT Food funded </w:t>
      </w:r>
      <w:r>
        <w:t>p</w:t>
      </w:r>
      <w:r w:rsidRPr="00CD0F8C">
        <w:t>rojects aimed at testing, launching</w:t>
      </w:r>
      <w:r w:rsidR="00362406">
        <w:t>,</w:t>
      </w:r>
      <w:r w:rsidRPr="00CD0F8C">
        <w:t xml:space="preserve"> or scaling products </w:t>
      </w:r>
      <w:r w:rsidR="00EA1356">
        <w:t>and</w:t>
      </w:r>
      <w:r w:rsidRPr="00CD0F8C">
        <w:t xml:space="preserve"> services should </w:t>
      </w:r>
      <w:r>
        <w:t>achieve</w:t>
      </w:r>
      <w:r w:rsidRPr="00CD0F8C">
        <w:t xml:space="preserve"> relevant Core K</w:t>
      </w:r>
      <w:r>
        <w:t xml:space="preserve">nowledge </w:t>
      </w:r>
      <w:r w:rsidRPr="00CD0F8C">
        <w:t>P</w:t>
      </w:r>
      <w:r>
        <w:t xml:space="preserve">erformance </w:t>
      </w:r>
      <w:r w:rsidRPr="00CD0F8C">
        <w:t>I</w:t>
      </w:r>
      <w:r>
        <w:t>ndicators (KPI</w:t>
      </w:r>
      <w:r w:rsidRPr="00CD0F8C">
        <w:t>s</w:t>
      </w:r>
      <w:r>
        <w:t>). For the Fast Track to Market</w:t>
      </w:r>
      <w:r w:rsidR="00EA1356">
        <w:t xml:space="preserve"> initiative</w:t>
      </w:r>
      <w:r>
        <w:t xml:space="preserve">, the main KPI is </w:t>
      </w:r>
      <w:r w:rsidR="00D24CA7">
        <w:t xml:space="preserve">called </w:t>
      </w:r>
      <w:r w:rsidR="00D24CA7" w:rsidRPr="001206B6">
        <w:rPr>
          <w:b/>
          <w:bCs/>
        </w:rPr>
        <w:t>Marketed Innovations</w:t>
      </w:r>
      <w:r w:rsidR="00D24CA7">
        <w:t xml:space="preserve">, </w:t>
      </w:r>
      <w:r w:rsidR="00EA1356">
        <w:t xml:space="preserve">which is an indicator of </w:t>
      </w:r>
      <w:r>
        <w:t>product</w:t>
      </w:r>
      <w:r w:rsidR="00CB5DC4">
        <w:t>s</w:t>
      </w:r>
      <w:r>
        <w:t xml:space="preserve"> reaching the market and generating sales</w:t>
      </w:r>
      <w:r w:rsidR="00910B40">
        <w:t>.</w:t>
      </w:r>
    </w:p>
    <w:p w14:paraId="2E32B420" w14:textId="5F22CF8F" w:rsidR="009D2EE3" w:rsidRDefault="004D025E" w:rsidP="009D2EE3">
      <w:r>
        <w:t>EIT Food track</w:t>
      </w:r>
      <w:r w:rsidR="00866099">
        <w:t>s</w:t>
      </w:r>
      <w:r>
        <w:t xml:space="preserve"> </w:t>
      </w:r>
      <w:r w:rsidR="009D2EE3" w:rsidRPr="00CD0F8C">
        <w:rPr>
          <w:b/>
          <w:bCs/>
        </w:rPr>
        <w:t xml:space="preserve">Marketed </w:t>
      </w:r>
      <w:r w:rsidR="009D2EE3" w:rsidRPr="003C4BBF">
        <w:rPr>
          <w:b/>
          <w:bCs/>
        </w:rPr>
        <w:t>Innovations</w:t>
      </w:r>
      <w:r w:rsidR="003C4BBF">
        <w:t xml:space="preserve"> </w:t>
      </w:r>
      <w:r w:rsidR="00866099">
        <w:t xml:space="preserve">by requiring </w:t>
      </w:r>
      <w:r w:rsidR="003C4BBF">
        <w:t xml:space="preserve">specific </w:t>
      </w:r>
      <w:r w:rsidR="00866099">
        <w:t xml:space="preserve">reporting </w:t>
      </w:r>
      <w:r w:rsidR="003C4BBF">
        <w:t xml:space="preserve">documentation at the end of the funding period </w:t>
      </w:r>
      <w:proofErr w:type="gramStart"/>
      <w:r w:rsidR="005729F5">
        <w:t>in order to</w:t>
      </w:r>
      <w:proofErr w:type="gramEnd"/>
      <w:r w:rsidR="005729F5">
        <w:t xml:space="preserve"> prove</w:t>
      </w:r>
      <w:r w:rsidR="00987F20">
        <w:t xml:space="preserve"> the n</w:t>
      </w:r>
      <w:r w:rsidR="009D2EE3" w:rsidRPr="003C4BBF">
        <w:t>umber</w:t>
      </w:r>
      <w:r w:rsidR="009D2EE3" w:rsidRPr="00CD0F8C">
        <w:t xml:space="preserve"> of innovations introduced on the market during the project duration with a sales revenue of at least 10 000 EUR. </w:t>
      </w:r>
    </w:p>
    <w:p w14:paraId="6A34F395" w14:textId="77777777" w:rsidR="009D2EE3" w:rsidRPr="00217C7D" w:rsidRDefault="009D2EE3" w:rsidP="009D2EE3">
      <w:pPr>
        <w:rPr>
          <w:b/>
          <w:bCs/>
        </w:rPr>
      </w:pPr>
      <w:r w:rsidRPr="00217C7D">
        <w:rPr>
          <w:b/>
          <w:bCs/>
        </w:rPr>
        <w:t>Deliverables:</w:t>
      </w:r>
    </w:p>
    <w:p w14:paraId="0C7191AB" w14:textId="7FDCE8AF" w:rsidR="009D2EE3" w:rsidRPr="000A3983" w:rsidRDefault="009D2EE3" w:rsidP="009D2EE3">
      <w:r w:rsidRPr="000A3983">
        <w:t>All proposals must include the following mandatory deliverables</w:t>
      </w:r>
      <w:r w:rsidR="00C36735">
        <w:t xml:space="preserve"> in their workplans for Fast Track to Market:</w:t>
      </w:r>
    </w:p>
    <w:p w14:paraId="7BEE0E3B" w14:textId="568D4EF7" w:rsidR="009D2EE3" w:rsidRDefault="009D2EE3" w:rsidP="009D2EE3">
      <w:pPr>
        <w:pStyle w:val="ListParagraph"/>
        <w:numPr>
          <w:ilvl w:val="0"/>
          <w:numId w:val="14"/>
        </w:numPr>
      </w:pPr>
      <w:r w:rsidRPr="000A3983">
        <w:t xml:space="preserve">DEL 1: </w:t>
      </w:r>
      <w:r w:rsidR="00C36735">
        <w:t>a c</w:t>
      </w:r>
      <w:r w:rsidRPr="000A3983">
        <w:t xml:space="preserve">ommercial agreement </w:t>
      </w:r>
    </w:p>
    <w:p w14:paraId="76A4E7B7" w14:textId="2AF696C4" w:rsidR="009D2EE3" w:rsidRDefault="009D2EE3" w:rsidP="009D2EE3">
      <w:pPr>
        <w:pStyle w:val="ListParagraph"/>
        <w:numPr>
          <w:ilvl w:val="0"/>
          <w:numId w:val="14"/>
        </w:numPr>
      </w:pPr>
      <w:r>
        <w:t xml:space="preserve">DEL 2: </w:t>
      </w:r>
      <w:r w:rsidR="00C36735">
        <w:t xml:space="preserve">a final </w:t>
      </w:r>
      <w:r>
        <w:t>Communication and Dissemination report</w:t>
      </w:r>
    </w:p>
    <w:p w14:paraId="6004C296" w14:textId="2895697E" w:rsidR="009D2EE3" w:rsidRPr="00741BC8" w:rsidRDefault="009D2EE3" w:rsidP="0050729D">
      <w:pPr>
        <w:pStyle w:val="ListParagraph"/>
        <w:numPr>
          <w:ilvl w:val="0"/>
          <w:numId w:val="14"/>
        </w:numPr>
      </w:pPr>
      <w:r>
        <w:t xml:space="preserve">DEL 3: </w:t>
      </w:r>
      <w:r w:rsidR="00741BC8">
        <w:t>a</w:t>
      </w:r>
      <w:r>
        <w:t xml:space="preserve"> final technical and commercial report</w:t>
      </w:r>
    </w:p>
    <w:p w14:paraId="21D84C23" w14:textId="1B0DCE50" w:rsidR="00E72A90" w:rsidRDefault="003B5693" w:rsidP="003B5693">
      <w:pPr>
        <w:pStyle w:val="Heading1"/>
      </w:pPr>
      <w:bookmarkStart w:id="11" w:name="_Toc158819736"/>
      <w:r w:rsidRPr="003B5693">
        <w:t>5.</w:t>
      </w:r>
      <w:r>
        <w:t xml:space="preserve"> Application Preparation, Submission &amp; Evaluation</w:t>
      </w:r>
      <w:bookmarkEnd w:id="11"/>
    </w:p>
    <w:p w14:paraId="4AEE10B4" w14:textId="77777777" w:rsidR="003B5693" w:rsidRPr="00A73E6C" w:rsidRDefault="003B5693" w:rsidP="003B5693">
      <w:pPr>
        <w:rPr>
          <w:rFonts w:cstheme="minorHAnsi"/>
        </w:rPr>
      </w:pPr>
    </w:p>
    <w:p w14:paraId="69F2D096" w14:textId="5CC8AD9F" w:rsidR="003B5693" w:rsidRDefault="003B5693" w:rsidP="0046183F">
      <w:pPr>
        <w:pStyle w:val="Heading2"/>
      </w:pPr>
      <w:bookmarkStart w:id="12" w:name="_Toc158819737"/>
      <w:r>
        <w:t>5.1</w:t>
      </w:r>
      <w:r w:rsidRPr="00420D50">
        <w:t xml:space="preserve"> Timeline</w:t>
      </w:r>
      <w:bookmarkEnd w:id="12"/>
    </w:p>
    <w:p w14:paraId="37F4AFB4" w14:textId="77777777" w:rsidR="00F45045" w:rsidRPr="00F45045" w:rsidRDefault="00F45045" w:rsidP="00F45045"/>
    <w:tbl>
      <w:tblPr>
        <w:tblStyle w:val="TableGrid"/>
        <w:tblW w:w="0" w:type="auto"/>
        <w:jc w:val="center"/>
        <w:tblLook w:val="04A0" w:firstRow="1" w:lastRow="0" w:firstColumn="1" w:lastColumn="0" w:noHBand="0" w:noVBand="1"/>
      </w:tblPr>
      <w:tblGrid>
        <w:gridCol w:w="5026"/>
        <w:gridCol w:w="3069"/>
      </w:tblGrid>
      <w:tr w:rsidR="003B5693" w:rsidRPr="00A73E6C" w14:paraId="0C3E4326" w14:textId="77777777">
        <w:trPr>
          <w:trHeight w:val="37"/>
          <w:jc w:val="center"/>
        </w:trPr>
        <w:tc>
          <w:tcPr>
            <w:tcW w:w="5026" w:type="dxa"/>
            <w:shd w:val="clear" w:color="auto" w:fill="E7E6E6" w:themeFill="background2"/>
          </w:tcPr>
          <w:p w14:paraId="2338E814" w14:textId="77777777" w:rsidR="003B5693" w:rsidRPr="00CB19D8" w:rsidRDefault="003B5693">
            <w:pPr>
              <w:rPr>
                <w:rFonts w:ascii="Calibri" w:eastAsia="Calibri" w:hAnsi="Calibri" w:cs="Calibri"/>
                <w:color w:val="000000" w:themeColor="text1"/>
              </w:rPr>
            </w:pPr>
            <w:r w:rsidRPr="00CB19D8">
              <w:rPr>
                <w:rFonts w:ascii="Calibri" w:eastAsia="Calibri" w:hAnsi="Calibri" w:cs="Calibri"/>
                <w:color w:val="000000" w:themeColor="text1"/>
              </w:rPr>
              <w:t>Action</w:t>
            </w:r>
          </w:p>
        </w:tc>
        <w:tc>
          <w:tcPr>
            <w:tcW w:w="3069" w:type="dxa"/>
            <w:shd w:val="clear" w:color="auto" w:fill="E7E6E6" w:themeFill="background2"/>
          </w:tcPr>
          <w:p w14:paraId="592C1C15" w14:textId="77777777" w:rsidR="003B5693" w:rsidRPr="00CB19D8" w:rsidRDefault="003B5693">
            <w:pPr>
              <w:rPr>
                <w:rFonts w:ascii="Calibri" w:eastAsia="Calibri" w:hAnsi="Calibri" w:cs="Calibri"/>
                <w:color w:val="000000" w:themeColor="text1"/>
              </w:rPr>
            </w:pPr>
            <w:r w:rsidRPr="00CB19D8">
              <w:rPr>
                <w:rFonts w:ascii="Calibri" w:eastAsia="Calibri" w:hAnsi="Calibri" w:cs="Calibri"/>
                <w:color w:val="000000" w:themeColor="text1"/>
              </w:rPr>
              <w:t>Date</w:t>
            </w:r>
          </w:p>
        </w:tc>
      </w:tr>
      <w:tr w:rsidR="003B5693" w:rsidRPr="00A73E6C" w14:paraId="2B74D505" w14:textId="77777777">
        <w:trPr>
          <w:trHeight w:val="37"/>
          <w:jc w:val="center"/>
        </w:trPr>
        <w:tc>
          <w:tcPr>
            <w:tcW w:w="5026" w:type="dxa"/>
          </w:tcPr>
          <w:p w14:paraId="4BA2C366" w14:textId="30174B1D" w:rsidR="003B5693" w:rsidRPr="00A73E6C" w:rsidRDefault="00760249">
            <w:pPr>
              <w:rPr>
                <w:rFonts w:cstheme="minorHAnsi"/>
              </w:rPr>
            </w:pPr>
            <w:r>
              <w:rPr>
                <w:rFonts w:cstheme="minorHAnsi"/>
              </w:rPr>
              <w:t xml:space="preserve">First </w:t>
            </w:r>
            <w:r w:rsidR="003B5693" w:rsidRPr="00A73E6C">
              <w:rPr>
                <w:rFonts w:cstheme="minorHAnsi"/>
              </w:rPr>
              <w:t>Application</w:t>
            </w:r>
            <w:r w:rsidR="006702A7">
              <w:rPr>
                <w:rFonts w:cstheme="minorHAnsi"/>
              </w:rPr>
              <w:t xml:space="preserve"> Open</w:t>
            </w:r>
          </w:p>
        </w:tc>
        <w:tc>
          <w:tcPr>
            <w:tcW w:w="3069" w:type="dxa"/>
          </w:tcPr>
          <w:p w14:paraId="3E2EFB8B" w14:textId="25681896" w:rsidR="003B5693" w:rsidRPr="00A73E6C" w:rsidRDefault="00223177">
            <w:pPr>
              <w:rPr>
                <w:rFonts w:cstheme="minorHAnsi"/>
              </w:rPr>
            </w:pPr>
            <w:r>
              <w:rPr>
                <w:rFonts w:cstheme="minorHAnsi"/>
              </w:rPr>
              <w:t>7</w:t>
            </w:r>
            <w:r w:rsidR="003B5693">
              <w:rPr>
                <w:rFonts w:cstheme="minorHAnsi"/>
              </w:rPr>
              <w:t xml:space="preserve"> February 2024</w:t>
            </w:r>
          </w:p>
        </w:tc>
      </w:tr>
      <w:tr w:rsidR="003B5693" w:rsidRPr="00A73E6C" w14:paraId="042BF7C7" w14:textId="77777777">
        <w:trPr>
          <w:trHeight w:val="37"/>
          <w:jc w:val="center"/>
        </w:trPr>
        <w:tc>
          <w:tcPr>
            <w:tcW w:w="5026" w:type="dxa"/>
          </w:tcPr>
          <w:p w14:paraId="3C1CEC45" w14:textId="1ACA5BB1" w:rsidR="003B5693" w:rsidRPr="00A73E6C" w:rsidRDefault="003B5693">
            <w:pPr>
              <w:rPr>
                <w:rFonts w:cstheme="minorHAnsi"/>
              </w:rPr>
            </w:pPr>
            <w:r w:rsidRPr="00A73E6C">
              <w:rPr>
                <w:rFonts w:cstheme="minorHAnsi"/>
              </w:rPr>
              <w:t>Webinar</w:t>
            </w:r>
            <w:r>
              <w:rPr>
                <w:rFonts w:cstheme="minorHAnsi"/>
              </w:rPr>
              <w:t xml:space="preserve"> 1</w:t>
            </w:r>
            <w:r w:rsidRPr="00A73E6C">
              <w:rPr>
                <w:rFonts w:cstheme="minorHAnsi"/>
              </w:rPr>
              <w:t xml:space="preserve"> for </w:t>
            </w:r>
            <w:r>
              <w:rPr>
                <w:rFonts w:cstheme="minorHAnsi"/>
              </w:rPr>
              <w:t>a</w:t>
            </w:r>
            <w:r w:rsidRPr="00A73E6C">
              <w:rPr>
                <w:rFonts w:cstheme="minorHAnsi"/>
              </w:rPr>
              <w:t>pplicants</w:t>
            </w:r>
          </w:p>
        </w:tc>
        <w:tc>
          <w:tcPr>
            <w:tcW w:w="3069" w:type="dxa"/>
          </w:tcPr>
          <w:p w14:paraId="3CA0E989" w14:textId="5C9A9977" w:rsidR="003B5693" w:rsidRPr="00A73E6C" w:rsidRDefault="00223177">
            <w:pPr>
              <w:rPr>
                <w:rFonts w:cstheme="minorHAnsi"/>
              </w:rPr>
            </w:pPr>
            <w:r>
              <w:rPr>
                <w:rFonts w:cstheme="minorHAnsi"/>
              </w:rPr>
              <w:t>21</w:t>
            </w:r>
            <w:r w:rsidR="003B5693">
              <w:rPr>
                <w:rFonts w:cstheme="minorHAnsi"/>
              </w:rPr>
              <w:t xml:space="preserve"> February 2024</w:t>
            </w:r>
          </w:p>
        </w:tc>
      </w:tr>
      <w:tr w:rsidR="003B5693" w:rsidRPr="00A73E6C" w14:paraId="05C13481" w14:textId="77777777">
        <w:trPr>
          <w:trHeight w:val="37"/>
          <w:jc w:val="center"/>
        </w:trPr>
        <w:tc>
          <w:tcPr>
            <w:tcW w:w="5026" w:type="dxa"/>
          </w:tcPr>
          <w:p w14:paraId="25CD39F4" w14:textId="602C5A15" w:rsidR="003B5693" w:rsidRPr="00A73E6C" w:rsidRDefault="003B5693">
            <w:pPr>
              <w:rPr>
                <w:rFonts w:cstheme="minorHAnsi"/>
              </w:rPr>
            </w:pPr>
            <w:r w:rsidRPr="00A73E6C">
              <w:rPr>
                <w:rFonts w:cstheme="minorHAnsi"/>
              </w:rPr>
              <w:t xml:space="preserve">Webinar </w:t>
            </w:r>
            <w:r>
              <w:rPr>
                <w:rFonts w:cstheme="minorHAnsi"/>
              </w:rPr>
              <w:t>2 for applicants</w:t>
            </w:r>
          </w:p>
        </w:tc>
        <w:tc>
          <w:tcPr>
            <w:tcW w:w="3069" w:type="dxa"/>
          </w:tcPr>
          <w:p w14:paraId="4D350302" w14:textId="10FBA689" w:rsidR="003B5693" w:rsidRPr="00A73E6C" w:rsidRDefault="003C5AC5">
            <w:pPr>
              <w:rPr>
                <w:rFonts w:cstheme="minorHAnsi"/>
              </w:rPr>
            </w:pPr>
            <w:r>
              <w:rPr>
                <w:rFonts w:cstheme="minorHAnsi"/>
              </w:rPr>
              <w:t>13</w:t>
            </w:r>
            <w:r w:rsidR="003B5693">
              <w:rPr>
                <w:rFonts w:cstheme="minorHAnsi"/>
              </w:rPr>
              <w:t xml:space="preserve"> </w:t>
            </w:r>
            <w:r w:rsidR="007A1657">
              <w:rPr>
                <w:rFonts w:cstheme="minorHAnsi"/>
              </w:rPr>
              <w:t>March</w:t>
            </w:r>
            <w:r w:rsidR="003B5693">
              <w:rPr>
                <w:rFonts w:cstheme="minorHAnsi"/>
              </w:rPr>
              <w:t xml:space="preserve"> 2024</w:t>
            </w:r>
          </w:p>
        </w:tc>
      </w:tr>
      <w:tr w:rsidR="003B5693" w:rsidRPr="00A73E6C" w14:paraId="667DCEE5" w14:textId="77777777">
        <w:trPr>
          <w:trHeight w:val="105"/>
          <w:jc w:val="center"/>
        </w:trPr>
        <w:tc>
          <w:tcPr>
            <w:tcW w:w="5026" w:type="dxa"/>
          </w:tcPr>
          <w:p w14:paraId="6007E4FF" w14:textId="09777FBB" w:rsidR="003B5693" w:rsidRPr="00A73E6C" w:rsidRDefault="003B5693">
            <w:pPr>
              <w:rPr>
                <w:rFonts w:cstheme="minorHAnsi"/>
              </w:rPr>
            </w:pPr>
            <w:r>
              <w:rPr>
                <w:rFonts w:cstheme="minorHAnsi"/>
              </w:rPr>
              <w:t xml:space="preserve">Application </w:t>
            </w:r>
            <w:r w:rsidR="006702A7">
              <w:rPr>
                <w:rFonts w:cstheme="minorHAnsi"/>
              </w:rPr>
              <w:t>Close</w:t>
            </w:r>
          </w:p>
        </w:tc>
        <w:tc>
          <w:tcPr>
            <w:tcW w:w="3069" w:type="dxa"/>
          </w:tcPr>
          <w:p w14:paraId="29E8E3F4" w14:textId="1D921172" w:rsidR="003B5693" w:rsidRPr="00A73E6C" w:rsidRDefault="00223177">
            <w:pPr>
              <w:rPr>
                <w:rFonts w:cstheme="minorHAnsi"/>
              </w:rPr>
            </w:pPr>
            <w:r>
              <w:rPr>
                <w:rFonts w:cstheme="minorHAnsi"/>
                <w:color w:val="FF0000"/>
              </w:rPr>
              <w:t>1</w:t>
            </w:r>
            <w:r w:rsidR="003A3948">
              <w:rPr>
                <w:rFonts w:cstheme="minorHAnsi"/>
                <w:color w:val="FF0000"/>
              </w:rPr>
              <w:t>0</w:t>
            </w:r>
            <w:r w:rsidR="003B5693" w:rsidRPr="00AE44EC">
              <w:rPr>
                <w:rFonts w:cstheme="minorHAnsi"/>
                <w:color w:val="FF0000"/>
              </w:rPr>
              <w:t xml:space="preserve"> April 2024 – 12.00 noon CET</w:t>
            </w:r>
          </w:p>
        </w:tc>
      </w:tr>
      <w:tr w:rsidR="003B5693" w:rsidRPr="00A73E6C" w14:paraId="193E08B8" w14:textId="77777777">
        <w:trPr>
          <w:trHeight w:val="31"/>
          <w:jc w:val="center"/>
        </w:trPr>
        <w:tc>
          <w:tcPr>
            <w:tcW w:w="5026" w:type="dxa"/>
          </w:tcPr>
          <w:p w14:paraId="03771D6F" w14:textId="431CE673" w:rsidR="003B5693" w:rsidRPr="00A73E6C" w:rsidRDefault="003B5693">
            <w:pPr>
              <w:rPr>
                <w:rFonts w:cstheme="minorHAnsi"/>
              </w:rPr>
            </w:pPr>
            <w:r>
              <w:rPr>
                <w:rFonts w:cstheme="minorHAnsi"/>
              </w:rPr>
              <w:t>Expert Evaluatio</w:t>
            </w:r>
            <w:r w:rsidR="003102AA">
              <w:rPr>
                <w:rFonts w:cstheme="minorHAnsi"/>
              </w:rPr>
              <w:t>n</w:t>
            </w:r>
          </w:p>
        </w:tc>
        <w:tc>
          <w:tcPr>
            <w:tcW w:w="3069" w:type="dxa"/>
          </w:tcPr>
          <w:p w14:paraId="0BB0D091" w14:textId="0D439B8E" w:rsidR="003B5693" w:rsidRPr="00A73E6C" w:rsidRDefault="003B5693">
            <w:pPr>
              <w:rPr>
                <w:rFonts w:cstheme="minorHAnsi"/>
              </w:rPr>
            </w:pPr>
            <w:r>
              <w:rPr>
                <w:rFonts w:cstheme="minorHAnsi"/>
              </w:rPr>
              <w:t>1</w:t>
            </w:r>
            <w:r w:rsidR="00CE33E1">
              <w:rPr>
                <w:rFonts w:cstheme="minorHAnsi"/>
              </w:rPr>
              <w:t>1</w:t>
            </w:r>
            <w:r>
              <w:rPr>
                <w:rFonts w:cstheme="minorHAnsi"/>
              </w:rPr>
              <w:t xml:space="preserve"> April – </w:t>
            </w:r>
            <w:r w:rsidR="003102AA">
              <w:rPr>
                <w:rFonts w:cstheme="minorHAnsi"/>
              </w:rPr>
              <w:t>2</w:t>
            </w:r>
            <w:r>
              <w:rPr>
                <w:rFonts w:cstheme="minorHAnsi"/>
              </w:rPr>
              <w:t xml:space="preserve"> May 2024</w:t>
            </w:r>
          </w:p>
        </w:tc>
      </w:tr>
      <w:tr w:rsidR="003102AA" w:rsidRPr="00A73E6C" w14:paraId="33D3BF51" w14:textId="77777777">
        <w:trPr>
          <w:trHeight w:val="31"/>
          <w:jc w:val="center"/>
        </w:trPr>
        <w:tc>
          <w:tcPr>
            <w:tcW w:w="5026" w:type="dxa"/>
          </w:tcPr>
          <w:p w14:paraId="69359F01" w14:textId="55C18C88" w:rsidR="003102AA" w:rsidRDefault="003102AA">
            <w:pPr>
              <w:rPr>
                <w:rFonts w:cstheme="minorHAnsi"/>
              </w:rPr>
            </w:pPr>
            <w:r>
              <w:rPr>
                <w:rFonts w:cstheme="minorHAnsi"/>
              </w:rPr>
              <w:t>Panels</w:t>
            </w:r>
          </w:p>
        </w:tc>
        <w:tc>
          <w:tcPr>
            <w:tcW w:w="3069" w:type="dxa"/>
          </w:tcPr>
          <w:p w14:paraId="4921E179" w14:textId="702A9317" w:rsidR="003102AA" w:rsidRDefault="00CA67FA">
            <w:pPr>
              <w:rPr>
                <w:rFonts w:cstheme="minorHAnsi"/>
              </w:rPr>
            </w:pPr>
            <w:r>
              <w:rPr>
                <w:rFonts w:cstheme="minorHAnsi"/>
              </w:rPr>
              <w:t>6-10 May 2024</w:t>
            </w:r>
          </w:p>
        </w:tc>
      </w:tr>
      <w:tr w:rsidR="003B5693" w:rsidRPr="00A73E6C" w14:paraId="621ED71A" w14:textId="77777777">
        <w:trPr>
          <w:trHeight w:val="31"/>
          <w:jc w:val="center"/>
        </w:trPr>
        <w:tc>
          <w:tcPr>
            <w:tcW w:w="5026" w:type="dxa"/>
          </w:tcPr>
          <w:p w14:paraId="7BE13D9A" w14:textId="5F6C32BF" w:rsidR="003B5693" w:rsidRPr="00A73E6C" w:rsidRDefault="00C0097D">
            <w:pPr>
              <w:rPr>
                <w:rFonts w:cstheme="minorHAnsi"/>
              </w:rPr>
            </w:pPr>
            <w:r>
              <w:rPr>
                <w:rFonts w:cstheme="minorHAnsi"/>
              </w:rPr>
              <w:t>Communication to selected participants</w:t>
            </w:r>
          </w:p>
        </w:tc>
        <w:tc>
          <w:tcPr>
            <w:tcW w:w="3069" w:type="dxa"/>
          </w:tcPr>
          <w:p w14:paraId="0B053715" w14:textId="060030BC" w:rsidR="003B5693" w:rsidRPr="00A73E6C" w:rsidRDefault="00223177">
            <w:pPr>
              <w:rPr>
                <w:rFonts w:cstheme="minorHAnsi"/>
              </w:rPr>
            </w:pPr>
            <w:r>
              <w:rPr>
                <w:rFonts w:cstheme="minorHAnsi"/>
              </w:rPr>
              <w:t>22</w:t>
            </w:r>
            <w:r w:rsidR="003B5693">
              <w:rPr>
                <w:rFonts w:cstheme="minorHAnsi"/>
              </w:rPr>
              <w:t xml:space="preserve"> May 2024</w:t>
            </w:r>
          </w:p>
        </w:tc>
      </w:tr>
      <w:tr w:rsidR="003B5693" w:rsidRPr="00A73E6C" w14:paraId="70AA003C" w14:textId="77777777">
        <w:trPr>
          <w:trHeight w:val="31"/>
          <w:jc w:val="center"/>
        </w:trPr>
        <w:tc>
          <w:tcPr>
            <w:tcW w:w="5026" w:type="dxa"/>
          </w:tcPr>
          <w:p w14:paraId="542EDC4E" w14:textId="77777777" w:rsidR="003B5693" w:rsidRPr="00A73E6C" w:rsidRDefault="003B5693">
            <w:pPr>
              <w:rPr>
                <w:rFonts w:cstheme="minorHAnsi"/>
              </w:rPr>
            </w:pPr>
            <w:r w:rsidRPr="00A73E6C">
              <w:rPr>
                <w:rFonts w:cstheme="minorHAnsi"/>
              </w:rPr>
              <w:t>Indicative start of project implementation</w:t>
            </w:r>
          </w:p>
        </w:tc>
        <w:tc>
          <w:tcPr>
            <w:tcW w:w="3069" w:type="dxa"/>
          </w:tcPr>
          <w:p w14:paraId="24C690B4" w14:textId="47107DE6" w:rsidR="003B5693" w:rsidRPr="00A73E6C" w:rsidRDefault="003B5693">
            <w:pPr>
              <w:rPr>
                <w:rFonts w:cstheme="minorHAnsi"/>
              </w:rPr>
            </w:pPr>
            <w:r>
              <w:rPr>
                <w:rFonts w:cstheme="minorHAnsi"/>
              </w:rPr>
              <w:t>1</w:t>
            </w:r>
            <w:r w:rsidR="00223177">
              <w:rPr>
                <w:rFonts w:cstheme="minorHAnsi"/>
              </w:rPr>
              <w:t>0</w:t>
            </w:r>
            <w:r w:rsidRPr="00A73E6C">
              <w:rPr>
                <w:rFonts w:cstheme="minorHAnsi"/>
              </w:rPr>
              <w:t xml:space="preserve"> </w:t>
            </w:r>
            <w:r>
              <w:rPr>
                <w:rFonts w:cstheme="minorHAnsi"/>
              </w:rPr>
              <w:t>June</w:t>
            </w:r>
            <w:r w:rsidRPr="00A73E6C">
              <w:rPr>
                <w:rFonts w:cstheme="minorHAnsi"/>
              </w:rPr>
              <w:t xml:space="preserve"> 2024</w:t>
            </w:r>
          </w:p>
        </w:tc>
      </w:tr>
      <w:tr w:rsidR="00760249" w:rsidRPr="00A73E6C" w14:paraId="7453DB23" w14:textId="77777777" w:rsidTr="000A40D6">
        <w:trPr>
          <w:trHeight w:val="31"/>
          <w:jc w:val="center"/>
        </w:trPr>
        <w:tc>
          <w:tcPr>
            <w:tcW w:w="5026" w:type="dxa"/>
            <w:shd w:val="clear" w:color="auto" w:fill="E7E6E6" w:themeFill="background2"/>
          </w:tcPr>
          <w:p w14:paraId="2BC995EA" w14:textId="70C73627" w:rsidR="00760249" w:rsidRPr="00A73E6C" w:rsidRDefault="00760249">
            <w:pPr>
              <w:rPr>
                <w:rFonts w:cstheme="minorHAnsi"/>
              </w:rPr>
            </w:pPr>
            <w:r>
              <w:rPr>
                <w:rFonts w:cstheme="minorHAnsi"/>
              </w:rPr>
              <w:t xml:space="preserve">Second </w:t>
            </w:r>
            <w:r w:rsidR="00931707">
              <w:rPr>
                <w:rFonts w:cstheme="minorHAnsi"/>
              </w:rPr>
              <w:t>A</w:t>
            </w:r>
            <w:r>
              <w:rPr>
                <w:rFonts w:cstheme="minorHAnsi"/>
              </w:rPr>
              <w:t>pplication Open</w:t>
            </w:r>
          </w:p>
        </w:tc>
        <w:tc>
          <w:tcPr>
            <w:tcW w:w="3069" w:type="dxa"/>
            <w:shd w:val="clear" w:color="auto" w:fill="E7E6E6" w:themeFill="background2"/>
          </w:tcPr>
          <w:p w14:paraId="6F88F60A" w14:textId="5FF40BD1" w:rsidR="00760249" w:rsidRDefault="005560C7">
            <w:pPr>
              <w:rPr>
                <w:rFonts w:cstheme="minorHAnsi"/>
              </w:rPr>
            </w:pPr>
            <w:r>
              <w:rPr>
                <w:rFonts w:cstheme="minorHAnsi"/>
              </w:rPr>
              <w:t xml:space="preserve">Dates to be </w:t>
            </w:r>
            <w:r w:rsidR="00E07A42">
              <w:rPr>
                <w:rFonts w:cstheme="minorHAnsi"/>
              </w:rPr>
              <w:t>announced</w:t>
            </w:r>
          </w:p>
        </w:tc>
      </w:tr>
      <w:tr w:rsidR="00760249" w:rsidRPr="00A73E6C" w14:paraId="5DD609F0" w14:textId="77777777" w:rsidTr="000A40D6">
        <w:trPr>
          <w:trHeight w:val="31"/>
          <w:jc w:val="center"/>
        </w:trPr>
        <w:tc>
          <w:tcPr>
            <w:tcW w:w="5026" w:type="dxa"/>
            <w:shd w:val="clear" w:color="auto" w:fill="E7E6E6" w:themeFill="background2"/>
          </w:tcPr>
          <w:p w14:paraId="0BD686DA" w14:textId="2CCE9259" w:rsidR="00760249" w:rsidRDefault="00760249">
            <w:pPr>
              <w:rPr>
                <w:rFonts w:cstheme="minorHAnsi"/>
              </w:rPr>
            </w:pPr>
            <w:r>
              <w:rPr>
                <w:rFonts w:cstheme="minorHAnsi"/>
              </w:rPr>
              <w:t>Application Close</w:t>
            </w:r>
          </w:p>
        </w:tc>
        <w:tc>
          <w:tcPr>
            <w:tcW w:w="3069" w:type="dxa"/>
            <w:shd w:val="clear" w:color="auto" w:fill="E7E6E6" w:themeFill="background2"/>
          </w:tcPr>
          <w:p w14:paraId="40001297" w14:textId="5DC1608C" w:rsidR="00760249" w:rsidRDefault="005560C7">
            <w:pPr>
              <w:rPr>
                <w:rFonts w:cstheme="minorHAnsi"/>
              </w:rPr>
            </w:pPr>
            <w:r>
              <w:rPr>
                <w:rFonts w:cstheme="minorHAnsi"/>
              </w:rPr>
              <w:t xml:space="preserve">Dates </w:t>
            </w:r>
            <w:r w:rsidR="00E07A42">
              <w:rPr>
                <w:rFonts w:cstheme="minorHAnsi"/>
              </w:rPr>
              <w:t>to be announced</w:t>
            </w:r>
          </w:p>
        </w:tc>
      </w:tr>
      <w:tr w:rsidR="00760249" w:rsidRPr="00A73E6C" w14:paraId="6DE9DB0E" w14:textId="77777777" w:rsidTr="000A40D6">
        <w:trPr>
          <w:trHeight w:val="31"/>
          <w:jc w:val="center"/>
        </w:trPr>
        <w:tc>
          <w:tcPr>
            <w:tcW w:w="5026" w:type="dxa"/>
            <w:shd w:val="clear" w:color="auto" w:fill="E7E6E6" w:themeFill="background2"/>
          </w:tcPr>
          <w:p w14:paraId="66084A75" w14:textId="5E4EF40F" w:rsidR="00760249" w:rsidRDefault="00794A26">
            <w:pPr>
              <w:rPr>
                <w:rFonts w:cstheme="minorHAnsi"/>
              </w:rPr>
            </w:pPr>
            <w:r>
              <w:rPr>
                <w:rFonts w:cstheme="minorHAnsi"/>
              </w:rPr>
              <w:t>Evaluation and Selection</w:t>
            </w:r>
          </w:p>
        </w:tc>
        <w:tc>
          <w:tcPr>
            <w:tcW w:w="3069" w:type="dxa"/>
            <w:shd w:val="clear" w:color="auto" w:fill="E7E6E6" w:themeFill="background2"/>
          </w:tcPr>
          <w:p w14:paraId="671D6649" w14:textId="529B5320" w:rsidR="00760249" w:rsidRDefault="00794A26">
            <w:pPr>
              <w:rPr>
                <w:rFonts w:cstheme="minorHAnsi"/>
              </w:rPr>
            </w:pPr>
            <w:r>
              <w:rPr>
                <w:rFonts w:cstheme="minorHAnsi"/>
              </w:rPr>
              <w:t xml:space="preserve">Dates </w:t>
            </w:r>
            <w:r w:rsidR="00E07A42">
              <w:rPr>
                <w:rFonts w:cstheme="minorHAnsi"/>
              </w:rPr>
              <w:t>to be announced</w:t>
            </w:r>
          </w:p>
        </w:tc>
      </w:tr>
    </w:tbl>
    <w:p w14:paraId="024D240F" w14:textId="77777777" w:rsidR="009C5A2C" w:rsidRDefault="009C5A2C" w:rsidP="009C5A2C">
      <w:pPr>
        <w:pStyle w:val="Heading2"/>
      </w:pPr>
    </w:p>
    <w:p w14:paraId="60C1640D" w14:textId="0EF85F25" w:rsidR="00186AB4" w:rsidRDefault="00186AB4" w:rsidP="009C5A2C">
      <w:pPr>
        <w:pStyle w:val="Heading2"/>
      </w:pPr>
      <w:bookmarkStart w:id="13" w:name="_Toc158819738"/>
      <w:r>
        <w:t>5.2 Who can apply?</w:t>
      </w:r>
      <w:bookmarkEnd w:id="13"/>
    </w:p>
    <w:p w14:paraId="3244C4D1" w14:textId="77777777" w:rsidR="007922DD" w:rsidRDefault="007922DD" w:rsidP="007922DD">
      <w:pPr>
        <w:rPr>
          <w:rFonts w:ascii="Calibri" w:eastAsia="Calibri" w:hAnsi="Calibri" w:cs="Calibri"/>
          <w:lang w:val="en-GB"/>
        </w:rPr>
      </w:pPr>
      <w:r w:rsidRPr="00310B84">
        <w:rPr>
          <w:rFonts w:ascii="Calibri" w:eastAsia="Calibri" w:hAnsi="Calibri" w:cs="Calibri"/>
          <w:color w:val="000000" w:themeColor="text1"/>
          <w:lang w:val="en-GB"/>
        </w:rPr>
        <w:t xml:space="preserve">Funding for this Request for Implementing Participants is available to all organisation from Member States of the European Union (EU) and from </w:t>
      </w:r>
      <w:hyperlink r:id="rId26" w:anchor="asset:245707@3">
        <w:r w:rsidRPr="00310B84">
          <w:rPr>
            <w:rStyle w:val="Hyperlink"/>
            <w:rFonts w:ascii="Calibri" w:eastAsia="Calibri" w:hAnsi="Calibri" w:cs="Calibri"/>
            <w:lang w:val="en-GB"/>
          </w:rPr>
          <w:t>Horizon Europe Associate Countries</w:t>
        </w:r>
      </w:hyperlink>
      <w:r w:rsidRPr="00310B84">
        <w:rPr>
          <w:rFonts w:ascii="Calibri" w:eastAsia="Calibri" w:hAnsi="Calibri" w:cs="Calibri"/>
          <w:color w:val="000000" w:themeColor="text1"/>
          <w:lang w:val="en-GB"/>
        </w:rPr>
        <w:t xml:space="preserve">. Legal entities from non- Horizon Europe Associate countries can participate in consortia but are limited to funding of 60 000 over 3 years, as stated above. </w:t>
      </w:r>
      <w:r w:rsidRPr="00310B84">
        <w:rPr>
          <w:rFonts w:ascii="Calibri" w:eastAsia="Calibri" w:hAnsi="Calibri" w:cs="Calibri"/>
          <w:lang w:val="en-GB"/>
        </w:rPr>
        <w:t xml:space="preserve"> </w:t>
      </w:r>
    </w:p>
    <w:p w14:paraId="6184A626" w14:textId="77777777" w:rsidR="00E92AF5" w:rsidRDefault="00E92AF5" w:rsidP="00E92AF5">
      <w:pPr>
        <w:pStyle w:val="Heading2"/>
      </w:pPr>
    </w:p>
    <w:p w14:paraId="38E6E2C9" w14:textId="631A336C" w:rsidR="00E92AF5" w:rsidRPr="00CD2667" w:rsidRDefault="00E92AF5" w:rsidP="00E92AF5">
      <w:pPr>
        <w:pStyle w:val="Heading2"/>
      </w:pPr>
      <w:bookmarkStart w:id="14" w:name="_Toc158819739"/>
      <w:r>
        <w:t xml:space="preserve">5.3 </w:t>
      </w:r>
      <w:r w:rsidR="00CB5FE9">
        <w:t>Application document</w:t>
      </w:r>
      <w:r w:rsidR="007238BC">
        <w:t>ation</w:t>
      </w:r>
      <w:bookmarkEnd w:id="14"/>
    </w:p>
    <w:p w14:paraId="0C9710D7" w14:textId="16FEF751" w:rsidR="00E92AF5" w:rsidRPr="00A73E6C" w:rsidRDefault="00E92AF5" w:rsidP="00E92AF5">
      <w:pPr>
        <w:rPr>
          <w:rFonts w:cstheme="minorHAnsi"/>
        </w:rPr>
      </w:pPr>
      <w:r w:rsidRPr="00A73E6C">
        <w:rPr>
          <w:rFonts w:cstheme="minorHAnsi"/>
        </w:rPr>
        <w:t xml:space="preserve">The proposed project must </w:t>
      </w:r>
      <w:r w:rsidRPr="00A73E6C">
        <w:rPr>
          <w:rFonts w:cstheme="minorHAnsi"/>
          <w:u w:val="single"/>
        </w:rPr>
        <w:t xml:space="preserve">make a significant and immediate impact </w:t>
      </w:r>
      <w:r w:rsidRPr="00A73E6C">
        <w:rPr>
          <w:rFonts w:cstheme="minorHAnsi"/>
        </w:rPr>
        <w:t>on the commercial success of the SME</w:t>
      </w:r>
      <w:r w:rsidR="00D86AC0" w:rsidRPr="00D86AC0">
        <w:rPr>
          <w:rFonts w:cstheme="minorHAnsi"/>
        </w:rPr>
        <w:t xml:space="preserve"> within 10 months</w:t>
      </w:r>
      <w:r w:rsidRPr="00A73E6C">
        <w:rPr>
          <w:rFonts w:cstheme="minorHAnsi"/>
        </w:rPr>
        <w:t xml:space="preserve">. </w:t>
      </w:r>
      <w:r w:rsidR="00FF51C2">
        <w:rPr>
          <w:rFonts w:cstheme="minorHAnsi"/>
        </w:rPr>
        <w:t xml:space="preserve">To </w:t>
      </w:r>
      <w:r w:rsidR="00882839">
        <w:rPr>
          <w:rFonts w:cstheme="minorHAnsi"/>
        </w:rPr>
        <w:t>achieve this,</w:t>
      </w:r>
      <w:r>
        <w:rPr>
          <w:rFonts w:cstheme="minorHAnsi"/>
        </w:rPr>
        <w:t xml:space="preserve"> </w:t>
      </w:r>
      <w:r w:rsidR="001F2873">
        <w:rPr>
          <w:rFonts w:cstheme="minorHAnsi"/>
        </w:rPr>
        <w:t xml:space="preserve">EIT Food requires </w:t>
      </w:r>
      <w:r>
        <w:rPr>
          <w:rFonts w:cstheme="minorHAnsi"/>
        </w:rPr>
        <w:t>e</w:t>
      </w:r>
      <w:r w:rsidRPr="00A73E6C">
        <w:rPr>
          <w:rFonts w:cstheme="minorHAnsi"/>
        </w:rPr>
        <w:t xml:space="preserve">ach application </w:t>
      </w:r>
      <w:r w:rsidR="00CD6020">
        <w:rPr>
          <w:rFonts w:cstheme="minorHAnsi"/>
        </w:rPr>
        <w:t>to</w:t>
      </w:r>
      <w:r w:rsidRPr="00A73E6C">
        <w:rPr>
          <w:rFonts w:cstheme="minorHAnsi"/>
        </w:rPr>
        <w:t xml:space="preserve"> include</w:t>
      </w:r>
      <w:r>
        <w:rPr>
          <w:rFonts w:cstheme="minorHAnsi"/>
        </w:rPr>
        <w:t xml:space="preserve"> the following supporting evidence, </w:t>
      </w:r>
      <w:r w:rsidR="0068332C">
        <w:rPr>
          <w:rFonts w:cstheme="minorHAnsi"/>
        </w:rPr>
        <w:t>outlined in detail within the</w:t>
      </w:r>
      <w:r>
        <w:rPr>
          <w:rFonts w:cstheme="minorHAnsi"/>
        </w:rPr>
        <w:t xml:space="preserve"> application form</w:t>
      </w:r>
      <w:r w:rsidR="004E6EAB">
        <w:rPr>
          <w:rFonts w:cstheme="minorHAnsi"/>
        </w:rPr>
        <w:t xml:space="preserve"> associated with these guidelines</w:t>
      </w:r>
      <w:r w:rsidRPr="00A73E6C">
        <w:rPr>
          <w:rFonts w:cstheme="minorHAnsi"/>
        </w:rPr>
        <w:t>:</w:t>
      </w:r>
    </w:p>
    <w:p w14:paraId="7F50DE29" w14:textId="40A7F115" w:rsidR="00E459A4" w:rsidRDefault="00E92AF5" w:rsidP="004D7819">
      <w:pPr>
        <w:pStyle w:val="ListParagraph"/>
        <w:numPr>
          <w:ilvl w:val="0"/>
          <w:numId w:val="27"/>
        </w:numPr>
        <w:rPr>
          <w:rFonts w:cstheme="minorHAnsi"/>
          <w:lang w:eastAsia="en-GB"/>
        </w:rPr>
      </w:pPr>
      <w:r>
        <w:rPr>
          <w:rFonts w:cstheme="minorHAnsi"/>
          <w:lang w:eastAsia="en-GB"/>
        </w:rPr>
        <w:t xml:space="preserve">A </w:t>
      </w:r>
      <w:proofErr w:type="gramStart"/>
      <w:r>
        <w:rPr>
          <w:rFonts w:cstheme="minorHAnsi"/>
          <w:lang w:eastAsia="en-GB"/>
        </w:rPr>
        <w:t>fully-written</w:t>
      </w:r>
      <w:proofErr w:type="gramEnd"/>
      <w:r>
        <w:rPr>
          <w:rFonts w:cstheme="minorHAnsi"/>
          <w:lang w:eastAsia="en-GB"/>
        </w:rPr>
        <w:t xml:space="preserve"> </w:t>
      </w:r>
      <w:r w:rsidR="00414172" w:rsidRPr="00CE4C6D">
        <w:rPr>
          <w:rFonts w:cstheme="minorHAnsi"/>
          <w:lang w:eastAsia="en-GB"/>
        </w:rPr>
        <w:t>company</w:t>
      </w:r>
      <w:r w:rsidR="00414172">
        <w:rPr>
          <w:rFonts w:cstheme="minorHAnsi"/>
          <w:lang w:eastAsia="en-GB"/>
        </w:rPr>
        <w:t xml:space="preserve"> </w:t>
      </w:r>
      <w:r>
        <w:rPr>
          <w:rFonts w:cstheme="minorHAnsi"/>
          <w:lang w:eastAsia="en-GB"/>
        </w:rPr>
        <w:t>business plan</w:t>
      </w:r>
      <w:r w:rsidR="00823323">
        <w:rPr>
          <w:rFonts w:cstheme="minorHAnsi"/>
          <w:lang w:eastAsia="en-GB"/>
        </w:rPr>
        <w:t xml:space="preserve"> and presentation</w:t>
      </w:r>
    </w:p>
    <w:p w14:paraId="2EBF5F5B" w14:textId="06AEAE41" w:rsidR="00823323" w:rsidRDefault="00361939" w:rsidP="004D7819">
      <w:pPr>
        <w:pStyle w:val="ListParagraph"/>
        <w:numPr>
          <w:ilvl w:val="0"/>
          <w:numId w:val="27"/>
        </w:numPr>
        <w:rPr>
          <w:rFonts w:cstheme="minorHAnsi"/>
          <w:lang w:eastAsia="en-GB"/>
        </w:rPr>
      </w:pPr>
      <w:r>
        <w:rPr>
          <w:rFonts w:cstheme="minorHAnsi"/>
          <w:lang w:eastAsia="en-GB"/>
        </w:rPr>
        <w:t>A pitch deck outlining</w:t>
      </w:r>
      <w:r w:rsidR="00F9325F">
        <w:rPr>
          <w:rFonts w:cstheme="minorHAnsi"/>
          <w:lang w:eastAsia="en-GB"/>
        </w:rPr>
        <w:t xml:space="preserve"> the </w:t>
      </w:r>
      <w:r w:rsidR="00010015">
        <w:rPr>
          <w:rFonts w:cstheme="minorHAnsi"/>
          <w:lang w:eastAsia="en-GB"/>
        </w:rPr>
        <w:t xml:space="preserve">commercial </w:t>
      </w:r>
      <w:r w:rsidR="00F9325F">
        <w:rPr>
          <w:rFonts w:cstheme="minorHAnsi"/>
          <w:lang w:eastAsia="en-GB"/>
        </w:rPr>
        <w:t xml:space="preserve">readiness of </w:t>
      </w:r>
      <w:r w:rsidR="00790EC2">
        <w:rPr>
          <w:rFonts w:cstheme="minorHAnsi"/>
          <w:lang w:eastAsia="en-GB"/>
        </w:rPr>
        <w:t>your</w:t>
      </w:r>
      <w:r w:rsidR="00F9325F">
        <w:rPr>
          <w:rFonts w:cstheme="minorHAnsi"/>
          <w:lang w:eastAsia="en-GB"/>
        </w:rPr>
        <w:t xml:space="preserve"> proposed fast-tracked product or solution</w:t>
      </w:r>
    </w:p>
    <w:p w14:paraId="28E3FA57" w14:textId="634D6632" w:rsidR="00F9325F" w:rsidRDefault="004A2549" w:rsidP="004D7819">
      <w:pPr>
        <w:pStyle w:val="ListParagraph"/>
        <w:numPr>
          <w:ilvl w:val="0"/>
          <w:numId w:val="27"/>
        </w:numPr>
        <w:rPr>
          <w:rFonts w:cstheme="minorHAnsi"/>
          <w:lang w:eastAsia="en-GB"/>
        </w:rPr>
      </w:pPr>
      <w:r>
        <w:rPr>
          <w:rFonts w:cstheme="minorHAnsi"/>
          <w:lang w:eastAsia="en-GB"/>
        </w:rPr>
        <w:t xml:space="preserve">A commercialisation plan </w:t>
      </w:r>
      <w:r w:rsidR="00784987">
        <w:rPr>
          <w:rFonts w:cstheme="minorHAnsi"/>
          <w:lang w:eastAsia="en-GB"/>
        </w:rPr>
        <w:t xml:space="preserve">that </w:t>
      </w:r>
      <w:r w:rsidR="009B03C5">
        <w:rPr>
          <w:rFonts w:cstheme="minorHAnsi"/>
          <w:lang w:eastAsia="en-GB"/>
        </w:rPr>
        <w:t xml:space="preserve">describes </w:t>
      </w:r>
      <w:r w:rsidR="00784987">
        <w:rPr>
          <w:rFonts w:cstheme="minorHAnsi"/>
          <w:lang w:eastAsia="en-GB"/>
        </w:rPr>
        <w:t>your</w:t>
      </w:r>
      <w:r w:rsidR="00D255C9">
        <w:rPr>
          <w:rFonts w:cstheme="minorHAnsi"/>
          <w:lang w:eastAsia="en-GB"/>
        </w:rPr>
        <w:t xml:space="preserve"> company’s </w:t>
      </w:r>
      <w:r w:rsidR="00CF1468">
        <w:rPr>
          <w:rFonts w:cstheme="minorHAnsi"/>
          <w:lang w:eastAsia="en-GB"/>
        </w:rPr>
        <w:t xml:space="preserve">commercial capacity for </w:t>
      </w:r>
      <w:r w:rsidR="00623480">
        <w:rPr>
          <w:rFonts w:cstheme="minorHAnsi"/>
          <w:lang w:eastAsia="en-GB"/>
        </w:rPr>
        <w:t>current and future</w:t>
      </w:r>
      <w:r w:rsidR="00E52BBA">
        <w:rPr>
          <w:rFonts w:cstheme="minorHAnsi"/>
          <w:lang w:eastAsia="en-GB"/>
        </w:rPr>
        <w:t xml:space="preserve"> assets/products</w:t>
      </w:r>
    </w:p>
    <w:p w14:paraId="15D86384" w14:textId="6235F913" w:rsidR="00CF1468" w:rsidRDefault="003D6EA6" w:rsidP="004D7819">
      <w:pPr>
        <w:pStyle w:val="ListParagraph"/>
        <w:numPr>
          <w:ilvl w:val="0"/>
          <w:numId w:val="27"/>
        </w:numPr>
        <w:rPr>
          <w:rFonts w:cstheme="minorHAnsi"/>
          <w:lang w:eastAsia="en-GB"/>
        </w:rPr>
      </w:pPr>
      <w:r>
        <w:rPr>
          <w:rFonts w:cstheme="minorHAnsi"/>
          <w:lang w:eastAsia="en-GB"/>
        </w:rPr>
        <w:t>A report attesting to your company’s financial statements and health</w:t>
      </w:r>
    </w:p>
    <w:p w14:paraId="1CD1F93E" w14:textId="41D61345" w:rsidR="003D6EA6" w:rsidRDefault="00234C56" w:rsidP="004D7819">
      <w:pPr>
        <w:pStyle w:val="ListParagraph"/>
        <w:numPr>
          <w:ilvl w:val="0"/>
          <w:numId w:val="27"/>
        </w:numPr>
        <w:rPr>
          <w:rFonts w:cstheme="minorHAnsi"/>
          <w:lang w:eastAsia="en-GB"/>
        </w:rPr>
      </w:pPr>
      <w:r>
        <w:rPr>
          <w:rFonts w:cstheme="minorHAnsi"/>
          <w:lang w:eastAsia="en-GB"/>
        </w:rPr>
        <w:t xml:space="preserve">A project plan outlining the activities to achieve </w:t>
      </w:r>
      <w:r w:rsidR="003A07CB">
        <w:rPr>
          <w:rFonts w:cstheme="minorHAnsi"/>
          <w:lang w:eastAsia="en-GB"/>
        </w:rPr>
        <w:t xml:space="preserve">next </w:t>
      </w:r>
      <w:r>
        <w:rPr>
          <w:rFonts w:cstheme="minorHAnsi"/>
          <w:lang w:eastAsia="en-GB"/>
        </w:rPr>
        <w:t>sales milestones</w:t>
      </w:r>
    </w:p>
    <w:p w14:paraId="01D3CC14" w14:textId="49C39681" w:rsidR="00E92AF5" w:rsidRPr="00C63D86" w:rsidRDefault="006B7BBD" w:rsidP="004D7819">
      <w:pPr>
        <w:pStyle w:val="ListParagraph"/>
        <w:numPr>
          <w:ilvl w:val="0"/>
          <w:numId w:val="27"/>
        </w:numPr>
        <w:rPr>
          <w:rFonts w:cstheme="minorHAnsi"/>
          <w:lang w:eastAsia="en-GB"/>
        </w:rPr>
      </w:pPr>
      <w:r>
        <w:rPr>
          <w:rFonts w:cstheme="minorHAnsi"/>
          <w:lang w:eastAsia="en-GB"/>
        </w:rPr>
        <w:t xml:space="preserve">A budget plan outlining the </w:t>
      </w:r>
      <w:r w:rsidR="007C3747">
        <w:rPr>
          <w:rFonts w:cstheme="minorHAnsi"/>
          <w:lang w:eastAsia="en-GB"/>
        </w:rPr>
        <w:t xml:space="preserve">expected costs </w:t>
      </w:r>
      <w:r w:rsidR="00F33A3B">
        <w:rPr>
          <w:rFonts w:cstheme="minorHAnsi"/>
          <w:lang w:eastAsia="en-GB"/>
        </w:rPr>
        <w:t>for the proposed project scope</w:t>
      </w:r>
    </w:p>
    <w:p w14:paraId="7D49E253" w14:textId="77777777" w:rsidR="00E92AF5" w:rsidRDefault="00E92AF5" w:rsidP="007922DD"/>
    <w:p w14:paraId="741CA3EB" w14:textId="4192D9FE" w:rsidR="00BE4DFC" w:rsidRDefault="00D11608" w:rsidP="00A27BD7">
      <w:pPr>
        <w:pStyle w:val="Heading2"/>
      </w:pPr>
      <w:bookmarkStart w:id="15" w:name="_Toc158819740"/>
      <w:r>
        <w:t>5.</w:t>
      </w:r>
      <w:r w:rsidR="00E92AF5">
        <w:t>4</w:t>
      </w:r>
      <w:r>
        <w:t xml:space="preserve"> Application Submission</w:t>
      </w:r>
      <w:bookmarkEnd w:id="15"/>
    </w:p>
    <w:p w14:paraId="755474BF" w14:textId="04DE99C3" w:rsidR="00C42CDA" w:rsidRPr="00FA0667" w:rsidRDefault="00BE4DFC" w:rsidP="00C42CDA">
      <w:r>
        <w:t xml:space="preserve">The </w:t>
      </w:r>
      <w:hyperlink r:id="rId27" w:history="1">
        <w:r w:rsidRPr="00622761">
          <w:rPr>
            <w:rStyle w:val="Hyperlink"/>
          </w:rPr>
          <w:t>application form</w:t>
        </w:r>
      </w:hyperlink>
      <w:r w:rsidRPr="00622761">
        <w:t xml:space="preserve"> </w:t>
      </w:r>
      <w:r>
        <w:t xml:space="preserve">must be completed </w:t>
      </w:r>
      <w:r w:rsidR="004F5459">
        <w:t xml:space="preserve">and sent </w:t>
      </w:r>
      <w:r>
        <w:t xml:space="preserve">by the application deadline of </w:t>
      </w:r>
      <w:r w:rsidR="00C86481" w:rsidRPr="00552F9A">
        <w:rPr>
          <w:b/>
          <w:color w:val="FF0000"/>
        </w:rPr>
        <w:t>10</w:t>
      </w:r>
      <w:r w:rsidR="00C86481" w:rsidRPr="00552F9A">
        <w:rPr>
          <w:b/>
          <w:bCs/>
          <w:color w:val="FF0000"/>
        </w:rPr>
        <w:t xml:space="preserve"> April 2024 – 12.00 noon CET</w:t>
      </w:r>
      <w:r w:rsidRPr="00676888">
        <w:t>.</w:t>
      </w:r>
      <w:r w:rsidR="00A75C59" w:rsidRPr="00676888">
        <w:t xml:space="preserve"> It must be</w:t>
      </w:r>
      <w:r w:rsidR="00986599" w:rsidRPr="00676888">
        <w:t xml:space="preserve"> </w:t>
      </w:r>
      <w:r w:rsidR="00C42CDA" w:rsidRPr="00676888">
        <w:t>sent</w:t>
      </w:r>
      <w:r w:rsidR="00C42CDA" w:rsidRPr="586D8D47">
        <w:t xml:space="preserve"> to via email to </w:t>
      </w:r>
      <w:hyperlink r:id="rId28" w:history="1">
        <w:r w:rsidR="00C42CDA" w:rsidRPr="00F6552E">
          <w:rPr>
            <w:rStyle w:val="Hyperlink"/>
          </w:rPr>
          <w:t>fasttrackcall@eitfood.eu</w:t>
        </w:r>
      </w:hyperlink>
      <w:r w:rsidR="00C42CDA" w:rsidRPr="586D8D47">
        <w:t xml:space="preserve">. The title of the email subject should begin “Application Submission: 2024 Fast Track to Market”.  </w:t>
      </w:r>
    </w:p>
    <w:p w14:paraId="6F3D9662" w14:textId="77777777" w:rsidR="00C42CDA" w:rsidRPr="00C05B91" w:rsidRDefault="00C42CDA" w:rsidP="00BE4DFC"/>
    <w:p w14:paraId="786B1281" w14:textId="59E5F593" w:rsidR="00A929BF" w:rsidRDefault="0076654F" w:rsidP="004577C7">
      <w:pPr>
        <w:pStyle w:val="Heading1"/>
      </w:pPr>
      <w:bookmarkStart w:id="16" w:name="_Toc158819741"/>
      <w:r>
        <w:t>6. Evaluation and Selection Process</w:t>
      </w:r>
      <w:bookmarkEnd w:id="16"/>
    </w:p>
    <w:p w14:paraId="7B660797" w14:textId="03769CD4" w:rsidR="00A929BF" w:rsidRDefault="00A929BF" w:rsidP="00A929BF">
      <w:r>
        <w:t>All submitted applications will undergo an eligibility check and evaluation to determine their feasibility and suitability for funding. The evaluation will be conducted by at least 3 external evaluators and 1 internal evaluator.</w:t>
      </w:r>
    </w:p>
    <w:p w14:paraId="143E198E" w14:textId="77777777" w:rsidR="00A929BF" w:rsidRPr="00A42017" w:rsidRDefault="00A929BF" w:rsidP="00A929BF">
      <w:pPr>
        <w:pStyle w:val="paragraph"/>
        <w:spacing w:before="0" w:beforeAutospacing="0" w:after="0" w:afterAutospacing="0"/>
        <w:rPr>
          <w:rFonts w:asciiTheme="minorHAnsi" w:eastAsiaTheme="minorEastAsia" w:hAnsiTheme="minorHAnsi" w:cstheme="minorBidi"/>
          <w:sz w:val="22"/>
          <w:szCs w:val="22"/>
        </w:rPr>
      </w:pPr>
      <w:r w:rsidRPr="0648DBD9">
        <w:rPr>
          <w:rFonts w:asciiTheme="minorHAnsi" w:eastAsiaTheme="minorEastAsia" w:hAnsiTheme="minorHAnsi" w:cstheme="minorBidi"/>
          <w:sz w:val="22"/>
          <w:szCs w:val="22"/>
        </w:rPr>
        <w:t xml:space="preserve">All external evaluators have been selected in an open and transparent process. All evaluators, both internal and external, are trained extensively on the </w:t>
      </w:r>
      <w:hyperlink r:id="rId29">
        <w:r w:rsidRPr="0648DBD9">
          <w:rPr>
            <w:rStyle w:val="Hyperlink"/>
            <w:rFonts w:asciiTheme="minorHAnsi" w:eastAsiaTheme="minorEastAsia" w:hAnsiTheme="minorHAnsi" w:cstheme="minorBidi"/>
            <w:b/>
            <w:bCs/>
            <w:sz w:val="22"/>
            <w:szCs w:val="22"/>
          </w:rPr>
          <w:t>European Union´s Code of Conduct for Evaluators</w:t>
        </w:r>
      </w:hyperlink>
      <w:r w:rsidRPr="0648DBD9">
        <w:rPr>
          <w:rStyle w:val="normaltextrun"/>
          <w:rFonts w:asciiTheme="minorHAnsi" w:eastAsiaTheme="minorEastAsia" w:hAnsiTheme="minorHAnsi" w:cstheme="minorBidi"/>
          <w:color w:val="333333"/>
          <w:sz w:val="22"/>
          <w:szCs w:val="22"/>
        </w:rPr>
        <w:t>,</w:t>
      </w:r>
      <w:r w:rsidRPr="0648DBD9">
        <w:rPr>
          <w:rFonts w:asciiTheme="minorHAnsi" w:eastAsiaTheme="minorEastAsia" w:hAnsiTheme="minorHAnsi" w:cstheme="minorBidi"/>
          <w:sz w:val="22"/>
          <w:szCs w:val="22"/>
        </w:rPr>
        <w:t xml:space="preserve"> namely on the importance of transparency, fair treatment of all applicants, confidentiality and how to avoid conflict of interest.  Evaluators must contractually agree to recuse themselves in the event of a conflict of interest.</w:t>
      </w:r>
    </w:p>
    <w:p w14:paraId="65F395F1" w14:textId="77777777" w:rsidR="00A929BF" w:rsidRPr="00A929BF" w:rsidRDefault="00A929BF" w:rsidP="00A929BF">
      <w:pPr>
        <w:pStyle w:val="Body"/>
      </w:pPr>
    </w:p>
    <w:p w14:paraId="0DE1C9BB" w14:textId="64732999" w:rsidR="00C07BDF" w:rsidRPr="00420D50" w:rsidRDefault="00A929BF" w:rsidP="00A929BF">
      <w:pPr>
        <w:pStyle w:val="Heading2"/>
      </w:pPr>
      <w:bookmarkStart w:id="17" w:name="_Toc158819742"/>
      <w:r>
        <w:t xml:space="preserve">6.1 </w:t>
      </w:r>
      <w:r w:rsidR="00DD04CF" w:rsidRPr="00420D50">
        <w:t>Eligibility</w:t>
      </w:r>
      <w:bookmarkEnd w:id="17"/>
      <w:r w:rsidR="00DD04CF" w:rsidRPr="00420D50">
        <w:t xml:space="preserve"> </w:t>
      </w:r>
    </w:p>
    <w:p w14:paraId="253CFB41" w14:textId="632029A3" w:rsidR="00353445" w:rsidRDefault="00FA6509" w:rsidP="00F26EF9">
      <w:r w:rsidRPr="00FA6509">
        <w:t xml:space="preserve">The </w:t>
      </w:r>
      <w:r w:rsidR="00133C81">
        <w:t>Fast Track to Market</w:t>
      </w:r>
      <w:r w:rsidRPr="00FA6509">
        <w:t xml:space="preserve"> is addressed to </w:t>
      </w:r>
      <w:r w:rsidRPr="00133C81">
        <w:rPr>
          <w:b/>
          <w:bCs/>
        </w:rPr>
        <w:t>a single legal entity</w:t>
      </w:r>
      <w:r w:rsidR="00EF2E58">
        <w:rPr>
          <w:b/>
          <w:bCs/>
        </w:rPr>
        <w:t xml:space="preserve">, or </w:t>
      </w:r>
      <w:r w:rsidRPr="00133C81">
        <w:rPr>
          <w:b/>
          <w:bCs/>
        </w:rPr>
        <w:t>mono-beneficiary</w:t>
      </w:r>
      <w:r w:rsidRPr="00FA6509">
        <w:t xml:space="preserve">, </w:t>
      </w:r>
      <w:r w:rsidR="009D11A1">
        <w:t>therefore proposals</w:t>
      </w:r>
      <w:r w:rsidRPr="00FA6509">
        <w:t xml:space="preserve"> </w:t>
      </w:r>
      <w:r w:rsidR="009D11A1">
        <w:t>must be</w:t>
      </w:r>
      <w:r w:rsidRPr="00FA6509">
        <w:t xml:space="preserve"> submitted by one single entity only. </w:t>
      </w:r>
      <w:r w:rsidR="00B4250B">
        <w:t>Proposals</w:t>
      </w:r>
      <w:r w:rsidRPr="00FA6509">
        <w:t xml:space="preserve"> with multiple entities</w:t>
      </w:r>
      <w:r w:rsidR="00B4250B">
        <w:t xml:space="preserve"> will be deemed ineligible</w:t>
      </w:r>
      <w:r w:rsidRPr="00FA6509">
        <w:t>.</w:t>
      </w:r>
    </w:p>
    <w:p w14:paraId="3F7D3D9A" w14:textId="3667C148" w:rsidR="00F26EF9" w:rsidRDefault="00C07BDF" w:rsidP="00F26EF9">
      <w:r>
        <w:t>All submitted applications will undergo an eligibility check</w:t>
      </w:r>
      <w:r w:rsidR="00AB65EA">
        <w:t xml:space="preserve"> </w:t>
      </w:r>
      <w:proofErr w:type="gramStart"/>
      <w:r w:rsidR="00AB65EA">
        <w:t>in order to</w:t>
      </w:r>
      <w:proofErr w:type="gramEnd"/>
      <w:r w:rsidR="00AB65EA">
        <w:t xml:space="preserve"> advance to the evaluation stage, according to the evaluation criteria below.</w:t>
      </w:r>
      <w:r w:rsidR="00F7322C">
        <w:t xml:space="preserve"> Note that EIT Food may ask for additional financial documentation of your company, according to the criteria below and documentation package you provide as part of the application.</w:t>
      </w:r>
    </w:p>
    <w:p w14:paraId="076557D1" w14:textId="529A00F5" w:rsidR="00F9211F" w:rsidRPr="00F9211F" w:rsidRDefault="00521CBA" w:rsidP="00F9211F">
      <w:r>
        <w:t>Please read Annex 1 carefully, in addition to the following eligibility criteria:</w:t>
      </w:r>
    </w:p>
    <w:tbl>
      <w:tblPr>
        <w:tblStyle w:val="TableGrid"/>
        <w:tblpPr w:leftFromText="180" w:rightFromText="180" w:vertAnchor="text" w:tblpY="1"/>
        <w:tblOverlap w:val="never"/>
        <w:tblW w:w="90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385"/>
        <w:gridCol w:w="6630"/>
      </w:tblGrid>
      <w:tr w:rsidR="00F9211F" w14:paraId="1E05F9CA" w14:textId="77777777" w:rsidTr="000B7514">
        <w:trPr>
          <w:trHeight w:val="390"/>
        </w:trPr>
        <w:tc>
          <w:tcPr>
            <w:tcW w:w="2385" w:type="dxa"/>
            <w:shd w:val="clear" w:color="auto" w:fill="EDEDED" w:themeFill="accent3" w:themeFillTint="33"/>
          </w:tcPr>
          <w:p w14:paraId="07C0D340" w14:textId="77777777" w:rsidR="00F9211F" w:rsidRDefault="00F9211F" w:rsidP="000B7514">
            <w:pPr>
              <w:rPr>
                <w:rFonts w:ascii="Calibri" w:eastAsia="Calibri" w:hAnsi="Calibri" w:cs="Calibri"/>
                <w:color w:val="000000" w:themeColor="text1"/>
              </w:rPr>
            </w:pPr>
            <w:r w:rsidRPr="12171911">
              <w:rPr>
                <w:rFonts w:ascii="Calibri" w:eastAsia="Calibri" w:hAnsi="Calibri" w:cs="Calibri"/>
                <w:color w:val="000000" w:themeColor="text1"/>
              </w:rPr>
              <w:t xml:space="preserve">Organisation Eligibility  </w:t>
            </w:r>
          </w:p>
        </w:tc>
        <w:tc>
          <w:tcPr>
            <w:tcW w:w="6630" w:type="dxa"/>
            <w:shd w:val="clear" w:color="auto" w:fill="EDEDED" w:themeFill="accent3" w:themeFillTint="33"/>
          </w:tcPr>
          <w:p w14:paraId="0B74E1C5" w14:textId="77777777" w:rsidR="00F9211F" w:rsidRDefault="00F9211F" w:rsidP="000B7514">
            <w:pPr>
              <w:rPr>
                <w:rFonts w:ascii="Calibri" w:eastAsia="Calibri" w:hAnsi="Calibri" w:cs="Calibri"/>
                <w:color w:val="000000" w:themeColor="text1"/>
              </w:rPr>
            </w:pPr>
            <w:r w:rsidRPr="12171911">
              <w:rPr>
                <w:rFonts w:ascii="Calibri" w:eastAsia="Calibri" w:hAnsi="Calibri" w:cs="Calibri"/>
                <w:color w:val="000000" w:themeColor="text1"/>
              </w:rPr>
              <w:t xml:space="preserve">Each </w:t>
            </w:r>
            <w:r>
              <w:rPr>
                <w:rFonts w:ascii="Calibri" w:eastAsia="Calibri" w:hAnsi="Calibri" w:cs="Calibri"/>
                <w:color w:val="000000" w:themeColor="text1"/>
              </w:rPr>
              <w:t xml:space="preserve">implementing </w:t>
            </w:r>
            <w:r w:rsidRPr="12171911">
              <w:rPr>
                <w:rFonts w:ascii="Calibri" w:eastAsia="Calibri" w:hAnsi="Calibri" w:cs="Calibri"/>
                <w:color w:val="000000" w:themeColor="text1"/>
              </w:rPr>
              <w:t>participa</w:t>
            </w:r>
            <w:r>
              <w:rPr>
                <w:rFonts w:ascii="Calibri" w:eastAsia="Calibri" w:hAnsi="Calibri" w:cs="Calibri"/>
                <w:color w:val="000000" w:themeColor="text1"/>
              </w:rPr>
              <w:t xml:space="preserve">nt </w:t>
            </w:r>
            <w:r w:rsidRPr="12171911">
              <w:rPr>
                <w:rFonts w:ascii="Calibri" w:eastAsia="Calibri" w:hAnsi="Calibri" w:cs="Calibri"/>
                <w:color w:val="000000" w:themeColor="text1"/>
              </w:rPr>
              <w:t xml:space="preserve">must: </w:t>
            </w:r>
          </w:p>
        </w:tc>
      </w:tr>
      <w:tr w:rsidR="00F9211F" w14:paraId="3403E283" w14:textId="77777777" w:rsidTr="000B7514">
        <w:trPr>
          <w:trHeight w:val="1266"/>
        </w:trPr>
        <w:tc>
          <w:tcPr>
            <w:tcW w:w="2385" w:type="dxa"/>
          </w:tcPr>
          <w:p w14:paraId="664C8F33" w14:textId="77777777" w:rsidR="00F9211F" w:rsidRDefault="00F9211F" w:rsidP="000B7514">
            <w:pPr>
              <w:rPr>
                <w:rFonts w:ascii="Calibri" w:eastAsia="Calibri" w:hAnsi="Calibri" w:cs="Calibri"/>
                <w:color w:val="000000" w:themeColor="text1"/>
              </w:rPr>
            </w:pPr>
            <w:r w:rsidRPr="12171911">
              <w:rPr>
                <w:rFonts w:ascii="Calibri" w:eastAsia="Calibri" w:hAnsi="Calibri" w:cs="Calibri"/>
                <w:color w:val="000000" w:themeColor="text1"/>
              </w:rPr>
              <w:t xml:space="preserve">  </w:t>
            </w:r>
          </w:p>
        </w:tc>
        <w:tc>
          <w:tcPr>
            <w:tcW w:w="6630" w:type="dxa"/>
          </w:tcPr>
          <w:p w14:paraId="1C87142E" w14:textId="0FF005F5" w:rsidR="00D9161C" w:rsidRDefault="00F9211F" w:rsidP="000B7514">
            <w:pPr>
              <w:pStyle w:val="ListParagraph"/>
              <w:numPr>
                <w:ilvl w:val="0"/>
                <w:numId w:val="11"/>
              </w:numPr>
              <w:rPr>
                <w:rFonts w:ascii="Calibri" w:eastAsia="Calibri" w:hAnsi="Calibri" w:cs="Calibri"/>
                <w:color w:val="000000" w:themeColor="text1"/>
              </w:rPr>
            </w:pPr>
            <w:r w:rsidRPr="078E99FE">
              <w:rPr>
                <w:rFonts w:ascii="Calibri" w:eastAsia="Calibri" w:hAnsi="Calibri" w:cs="Calibri"/>
                <w:color w:val="000000" w:themeColor="text1"/>
              </w:rPr>
              <w:t xml:space="preserve">Be a legally incorporated entity in one of the EU or Horizon Europe eligible country listed above </w:t>
            </w:r>
            <w:r w:rsidRPr="0081797A">
              <w:rPr>
                <w:rFonts w:ascii="Calibri" w:eastAsia="Calibri" w:hAnsi="Calibri" w:cs="Calibri"/>
                <w:color w:val="000000" w:themeColor="text1"/>
              </w:rPr>
              <w:t xml:space="preserve">for a minimum of </w:t>
            </w:r>
            <w:r w:rsidR="008908C6" w:rsidRPr="0081797A">
              <w:rPr>
                <w:rFonts w:ascii="Calibri" w:eastAsia="Calibri" w:hAnsi="Calibri" w:cs="Calibri"/>
                <w:color w:val="000000" w:themeColor="text1"/>
              </w:rPr>
              <w:t>12</w:t>
            </w:r>
            <w:r w:rsidR="008908C6">
              <w:rPr>
                <w:rFonts w:ascii="Calibri" w:eastAsia="Calibri" w:hAnsi="Calibri" w:cs="Calibri"/>
                <w:color w:val="000000" w:themeColor="text1"/>
              </w:rPr>
              <w:t xml:space="preserve"> months of business activity</w:t>
            </w:r>
            <w:r w:rsidRPr="078E99FE">
              <w:rPr>
                <w:rFonts w:ascii="Calibri" w:eastAsia="Calibri" w:hAnsi="Calibri" w:cs="Calibri"/>
                <w:color w:val="000000" w:themeColor="text1"/>
              </w:rPr>
              <w:t>.</w:t>
            </w:r>
          </w:p>
          <w:p w14:paraId="15E5DA33" w14:textId="65AC97F7" w:rsidR="000F6F2B" w:rsidRPr="000F6F2B" w:rsidRDefault="000F6F2B" w:rsidP="000B7514">
            <w:pPr>
              <w:pStyle w:val="ListParagraph"/>
              <w:numPr>
                <w:ilvl w:val="0"/>
                <w:numId w:val="11"/>
              </w:numPr>
              <w:rPr>
                <w:rFonts w:ascii="Calibri" w:eastAsia="Calibri" w:hAnsi="Calibri" w:cs="Calibri"/>
                <w:color w:val="000000" w:themeColor="text1"/>
              </w:rPr>
            </w:pPr>
            <w:r w:rsidRPr="000F6F2B">
              <w:rPr>
                <w:rFonts w:ascii="Calibri" w:eastAsia="Calibri" w:hAnsi="Calibri" w:cs="Calibri"/>
                <w:color w:val="000000" w:themeColor="text1"/>
              </w:rPr>
              <w:t xml:space="preserve">You have a </w:t>
            </w:r>
            <w:r w:rsidR="00B930CB">
              <w:rPr>
                <w:rFonts w:ascii="Calibri" w:eastAsia="Calibri" w:hAnsi="Calibri" w:cs="Calibri"/>
                <w:color w:val="000000" w:themeColor="text1"/>
              </w:rPr>
              <w:t>technology,</w:t>
            </w:r>
            <w:r w:rsidR="00B930CB" w:rsidRPr="000F6F2B">
              <w:rPr>
                <w:rFonts w:ascii="Calibri" w:eastAsia="Calibri" w:hAnsi="Calibri" w:cs="Calibri"/>
                <w:color w:val="000000" w:themeColor="text1"/>
              </w:rPr>
              <w:t xml:space="preserve"> </w:t>
            </w:r>
            <w:r>
              <w:rPr>
                <w:rFonts w:ascii="Calibri" w:eastAsia="Calibri" w:hAnsi="Calibri" w:cs="Calibri"/>
                <w:color w:val="000000" w:themeColor="text1"/>
              </w:rPr>
              <w:t xml:space="preserve">product, service, </w:t>
            </w:r>
            <w:r w:rsidR="00B930CB">
              <w:rPr>
                <w:rFonts w:ascii="Calibri" w:eastAsia="Calibri" w:hAnsi="Calibri" w:cs="Calibri"/>
                <w:color w:val="000000" w:themeColor="text1"/>
              </w:rPr>
              <w:t xml:space="preserve">or </w:t>
            </w:r>
            <w:r w:rsidRPr="000F6F2B">
              <w:rPr>
                <w:rFonts w:ascii="Calibri" w:eastAsia="Calibri" w:hAnsi="Calibri" w:cs="Calibri"/>
                <w:color w:val="000000" w:themeColor="text1"/>
              </w:rPr>
              <w:t>solution within one of the </w:t>
            </w:r>
            <w:r>
              <w:rPr>
                <w:rFonts w:ascii="Calibri" w:eastAsia="Calibri" w:hAnsi="Calibri" w:cs="Calibri"/>
                <w:color w:val="000000" w:themeColor="text1"/>
              </w:rPr>
              <w:t>three EIT Food Missions.</w:t>
            </w:r>
            <w:r w:rsidRPr="000F6F2B">
              <w:rPr>
                <w:rFonts w:ascii="Calibri" w:eastAsia="Calibri" w:hAnsi="Calibri" w:cs="Calibri"/>
                <w:color w:val="000000" w:themeColor="text1"/>
              </w:rPr>
              <w:t> </w:t>
            </w:r>
          </w:p>
          <w:p w14:paraId="051DE6AE" w14:textId="26742E76" w:rsidR="00D9161C" w:rsidRDefault="00D9161C" w:rsidP="000B7514">
            <w:pPr>
              <w:pStyle w:val="ListParagraph"/>
              <w:numPr>
                <w:ilvl w:val="0"/>
                <w:numId w:val="11"/>
              </w:numPr>
              <w:rPr>
                <w:rFonts w:ascii="Calibri" w:eastAsia="Calibri" w:hAnsi="Calibri" w:cs="Calibri"/>
                <w:color w:val="000000" w:themeColor="text1"/>
              </w:rPr>
            </w:pPr>
            <w:r>
              <w:lastRenderedPageBreak/>
              <w:t>Be a </w:t>
            </w:r>
            <w:hyperlink r:id="rId30" w:history="1">
              <w:r>
                <w:rPr>
                  <w:rStyle w:val="Hyperlink"/>
                </w:rPr>
                <w:t>SMALL sized company</w:t>
              </w:r>
            </w:hyperlink>
            <w:r>
              <w:t> as defined in the </w:t>
            </w:r>
            <w:hyperlink r:id="rId31" w:history="1">
              <w:r>
                <w:rPr>
                  <w:rStyle w:val="Hyperlink"/>
                </w:rPr>
                <w:t>EU recommendation 2003/361</w:t>
              </w:r>
            </w:hyperlink>
            <w:r>
              <w:t xml:space="preserve"> (between </w:t>
            </w:r>
            <w:r w:rsidR="00F342A3">
              <w:t>3</w:t>
            </w:r>
            <w:r>
              <w:t xml:space="preserve"> and 49 employees and less than 10 million turnover or balance sheet)</w:t>
            </w:r>
          </w:p>
          <w:p w14:paraId="1B50C809" w14:textId="66F81C17" w:rsidR="000E167B" w:rsidRPr="002566F6" w:rsidRDefault="00D9161C" w:rsidP="000B7514">
            <w:pPr>
              <w:pStyle w:val="ListParagraph"/>
              <w:numPr>
                <w:ilvl w:val="0"/>
                <w:numId w:val="11"/>
              </w:numPr>
              <w:rPr>
                <w:rFonts w:ascii="Calibri" w:eastAsia="Calibri" w:hAnsi="Calibri" w:cs="Calibri"/>
                <w:color w:val="000000" w:themeColor="text1"/>
              </w:rPr>
            </w:pPr>
            <w:r w:rsidRPr="3AC873DE">
              <w:rPr>
                <w:rFonts w:ascii="Calibri" w:eastAsia="Calibri" w:hAnsi="Calibri" w:cs="Calibri"/>
                <w:color w:val="000000" w:themeColor="text1"/>
              </w:rPr>
              <w:t>Have a minimum of 3 full-time employees</w:t>
            </w:r>
            <w:r w:rsidR="008908C6">
              <w:rPr>
                <w:rFonts w:ascii="Calibri" w:eastAsia="Calibri" w:hAnsi="Calibri" w:cs="Calibri"/>
                <w:color w:val="000000" w:themeColor="text1"/>
              </w:rPr>
              <w:t xml:space="preserve"> (3 FTEs)</w:t>
            </w:r>
            <w:r w:rsidR="00F9211F" w:rsidRPr="3AC873DE">
              <w:rPr>
                <w:rFonts w:ascii="Calibri" w:eastAsia="Calibri" w:hAnsi="Calibri" w:cs="Calibri"/>
                <w:color w:val="000000" w:themeColor="text1"/>
              </w:rPr>
              <w:t xml:space="preserve"> </w:t>
            </w:r>
          </w:p>
          <w:p w14:paraId="415C1036" w14:textId="0369AC74" w:rsidR="00F44C5B" w:rsidRPr="002566F6" w:rsidRDefault="000E167B" w:rsidP="000B7514">
            <w:pPr>
              <w:pStyle w:val="ListParagraph"/>
              <w:numPr>
                <w:ilvl w:val="0"/>
                <w:numId w:val="11"/>
              </w:numPr>
              <w:rPr>
                <w:rFonts w:ascii="Calibri" w:eastAsia="Calibri" w:hAnsi="Calibri" w:cs="Calibri"/>
                <w:color w:val="000000" w:themeColor="text1"/>
              </w:rPr>
            </w:pPr>
            <w:r w:rsidRPr="3AC873DE">
              <w:rPr>
                <w:rFonts w:ascii="Calibri" w:eastAsia="Calibri" w:hAnsi="Calibri" w:cs="Calibri"/>
                <w:color w:val="000000" w:themeColor="text1"/>
              </w:rPr>
              <w:t xml:space="preserve">You are past the ideation </w:t>
            </w:r>
            <w:proofErr w:type="gramStart"/>
            <w:r w:rsidRPr="3AC873DE">
              <w:rPr>
                <w:rFonts w:ascii="Calibri" w:eastAsia="Calibri" w:hAnsi="Calibri" w:cs="Calibri"/>
                <w:color w:val="000000" w:themeColor="text1"/>
              </w:rPr>
              <w:t>phase,</w:t>
            </w:r>
            <w:proofErr w:type="gramEnd"/>
            <w:r w:rsidRPr="3AC873DE">
              <w:rPr>
                <w:rFonts w:ascii="Calibri" w:eastAsia="Calibri" w:hAnsi="Calibri" w:cs="Calibri"/>
                <w:color w:val="000000" w:themeColor="text1"/>
              </w:rPr>
              <w:t xml:space="preserve"> </w:t>
            </w:r>
            <w:r w:rsidR="007B0BF4" w:rsidRPr="007B0BF4">
              <w:rPr>
                <w:rFonts w:ascii="Calibri" w:eastAsia="Calibri" w:hAnsi="Calibri" w:cs="Calibri"/>
                <w:color w:val="000000" w:themeColor="text1"/>
              </w:rPr>
              <w:t>you are generating revenues from paying customers and not only from pilots.</w:t>
            </w:r>
          </w:p>
          <w:p w14:paraId="087C4BF5" w14:textId="16824AF2" w:rsidR="00F9211F" w:rsidRPr="00D9161C" w:rsidRDefault="00F9211F" w:rsidP="000B7514">
            <w:pPr>
              <w:pStyle w:val="ListParagraph"/>
              <w:numPr>
                <w:ilvl w:val="0"/>
                <w:numId w:val="11"/>
              </w:numPr>
              <w:rPr>
                <w:rFonts w:ascii="Calibri" w:eastAsia="Calibri" w:hAnsi="Calibri" w:cs="Calibri"/>
                <w:color w:val="000000" w:themeColor="text1"/>
              </w:rPr>
            </w:pPr>
            <w:r w:rsidRPr="00D9161C">
              <w:rPr>
                <w:color w:val="000000" w:themeColor="text1"/>
              </w:rPr>
              <w:t>Provide a PIC Number:</w:t>
            </w:r>
            <w:r w:rsidRPr="00D9161C">
              <w:rPr>
                <w:color w:val="4472C4" w:themeColor="accent1"/>
              </w:rPr>
              <w:t xml:space="preserve"> </w:t>
            </w:r>
            <w:hyperlink r:id="rId32">
              <w:r w:rsidRPr="00D9161C">
                <w:rPr>
                  <w:rStyle w:val="Hyperlink"/>
                </w:rPr>
                <w:t>https://www.eitfood.eu/files/PIC-Guidance.pdf</w:t>
              </w:r>
            </w:hyperlink>
          </w:p>
          <w:p w14:paraId="237AAB21" w14:textId="77777777" w:rsidR="00F9211F" w:rsidRPr="007533E8" w:rsidRDefault="00F9211F" w:rsidP="000B7514">
            <w:pPr>
              <w:pStyle w:val="ListParagraph"/>
              <w:numPr>
                <w:ilvl w:val="0"/>
                <w:numId w:val="11"/>
              </w:numPr>
            </w:pPr>
            <w:r>
              <w:t>Comply with requests for documents during due diligence/validation.</w:t>
            </w:r>
          </w:p>
        </w:tc>
      </w:tr>
      <w:tr w:rsidR="00F9211F" w14:paraId="7068A3D3" w14:textId="77777777" w:rsidTr="000B7514">
        <w:trPr>
          <w:trHeight w:val="405"/>
        </w:trPr>
        <w:tc>
          <w:tcPr>
            <w:tcW w:w="2385" w:type="dxa"/>
            <w:shd w:val="clear" w:color="auto" w:fill="EDEDED" w:themeFill="accent3" w:themeFillTint="33"/>
          </w:tcPr>
          <w:p w14:paraId="2059F9F5" w14:textId="77777777" w:rsidR="00F9211F" w:rsidRDefault="00F9211F" w:rsidP="000B7514">
            <w:pPr>
              <w:rPr>
                <w:rFonts w:ascii="Calibri" w:eastAsia="Calibri" w:hAnsi="Calibri" w:cs="Calibri"/>
                <w:color w:val="000000" w:themeColor="text1"/>
              </w:rPr>
            </w:pPr>
            <w:r w:rsidRPr="37D3AD9B">
              <w:rPr>
                <w:rFonts w:ascii="Calibri" w:eastAsia="Calibri" w:hAnsi="Calibri" w:cs="Calibri"/>
                <w:color w:val="000000" w:themeColor="text1"/>
              </w:rPr>
              <w:lastRenderedPageBreak/>
              <w:t xml:space="preserve">Application Eligibility </w:t>
            </w:r>
          </w:p>
        </w:tc>
        <w:tc>
          <w:tcPr>
            <w:tcW w:w="6630" w:type="dxa"/>
            <w:shd w:val="clear" w:color="auto" w:fill="EDEDED" w:themeFill="accent3" w:themeFillTint="33"/>
          </w:tcPr>
          <w:p w14:paraId="36D6FB04" w14:textId="77777777" w:rsidR="00F9211F" w:rsidRDefault="00F9211F" w:rsidP="000B7514">
            <w:pPr>
              <w:rPr>
                <w:rFonts w:ascii="Calibri" w:eastAsia="Calibri" w:hAnsi="Calibri" w:cs="Calibri"/>
                <w:color w:val="000000" w:themeColor="text1"/>
              </w:rPr>
            </w:pPr>
            <w:r w:rsidRPr="37D3AD9B">
              <w:rPr>
                <w:rFonts w:ascii="Calibri" w:eastAsia="Calibri" w:hAnsi="Calibri" w:cs="Calibri"/>
                <w:color w:val="000000" w:themeColor="text1"/>
              </w:rPr>
              <w:t xml:space="preserve">To eligible applications must: </w:t>
            </w:r>
          </w:p>
        </w:tc>
      </w:tr>
      <w:tr w:rsidR="00F9211F" w14:paraId="5689A23A" w14:textId="77777777" w:rsidTr="000B7514">
        <w:trPr>
          <w:trHeight w:val="619"/>
        </w:trPr>
        <w:tc>
          <w:tcPr>
            <w:tcW w:w="2385" w:type="dxa"/>
          </w:tcPr>
          <w:p w14:paraId="7961D63A" w14:textId="77777777" w:rsidR="00F9211F" w:rsidRDefault="00F9211F" w:rsidP="000B7514">
            <w:pPr>
              <w:rPr>
                <w:rFonts w:ascii="Calibri" w:eastAsia="Calibri" w:hAnsi="Calibri" w:cs="Calibri"/>
                <w:color w:val="000000" w:themeColor="text1"/>
              </w:rPr>
            </w:pPr>
            <w:r w:rsidRPr="12171911">
              <w:rPr>
                <w:rFonts w:ascii="Calibri" w:eastAsia="Calibri" w:hAnsi="Calibri" w:cs="Calibri"/>
                <w:color w:val="000000" w:themeColor="text1"/>
              </w:rPr>
              <w:t xml:space="preserve">  </w:t>
            </w:r>
          </w:p>
        </w:tc>
        <w:tc>
          <w:tcPr>
            <w:tcW w:w="6630" w:type="dxa"/>
          </w:tcPr>
          <w:p w14:paraId="5B4D365A" w14:textId="509992D8" w:rsidR="00F9211F" w:rsidRPr="00D63FB1" w:rsidRDefault="00F9211F" w:rsidP="000B7514">
            <w:pPr>
              <w:pStyle w:val="ListParagraph"/>
              <w:numPr>
                <w:ilvl w:val="0"/>
                <w:numId w:val="13"/>
              </w:numPr>
              <w:rPr>
                <w:rFonts w:ascii="Calibri" w:eastAsia="Calibri" w:hAnsi="Calibri" w:cs="Calibri"/>
                <w:color w:val="000000" w:themeColor="text1"/>
              </w:rPr>
            </w:pPr>
            <w:r w:rsidRPr="00D5360F">
              <w:rPr>
                <w:rFonts w:ascii="Calibri" w:eastAsia="Calibri" w:hAnsi="Calibri" w:cs="Calibri"/>
                <w:color w:val="000000" w:themeColor="text1"/>
              </w:rPr>
              <w:t>Be complete, with all mandatory supporting documents</w:t>
            </w:r>
            <w:r w:rsidR="00D63FB1">
              <w:rPr>
                <w:rFonts w:ascii="Calibri" w:eastAsia="Calibri" w:hAnsi="Calibri" w:cs="Calibri"/>
                <w:color w:val="000000" w:themeColor="text1"/>
              </w:rPr>
              <w:t>.</w:t>
            </w:r>
            <w:r w:rsidRPr="00D5360F">
              <w:rPr>
                <w:rFonts w:ascii="Calibri" w:eastAsia="Calibri" w:hAnsi="Calibri" w:cs="Calibri"/>
                <w:color w:val="000000" w:themeColor="text1"/>
              </w:rPr>
              <w:t xml:space="preserve"> </w:t>
            </w:r>
          </w:p>
          <w:p w14:paraId="3C2AF1C3" w14:textId="77777777" w:rsidR="00F9211F" w:rsidRPr="00481D4F" w:rsidRDefault="00F9211F" w:rsidP="000B7514">
            <w:pPr>
              <w:pStyle w:val="ListParagraph"/>
              <w:numPr>
                <w:ilvl w:val="0"/>
                <w:numId w:val="13"/>
              </w:numPr>
              <w:rPr>
                <w:rFonts w:ascii="Calibri" w:eastAsia="Calibri" w:hAnsi="Calibri" w:cs="Calibri"/>
                <w:color w:val="000000" w:themeColor="text1"/>
              </w:rPr>
            </w:pPr>
            <w:r w:rsidRPr="00D5360F">
              <w:rPr>
                <w:rFonts w:ascii="Calibri" w:eastAsia="Calibri" w:hAnsi="Calibri" w:cs="Calibri"/>
                <w:color w:val="000000" w:themeColor="text1"/>
              </w:rPr>
              <w:t xml:space="preserve">Be submitted on time via our </w:t>
            </w:r>
            <w:r>
              <w:rPr>
                <w:rFonts w:ascii="Calibri" w:eastAsia="Calibri" w:hAnsi="Calibri" w:cs="Calibri"/>
                <w:color w:val="000000" w:themeColor="text1"/>
              </w:rPr>
              <w:t xml:space="preserve">application </w:t>
            </w:r>
            <w:r w:rsidRPr="00D5360F">
              <w:rPr>
                <w:rFonts w:ascii="Calibri" w:eastAsia="Calibri" w:hAnsi="Calibri" w:cs="Calibri"/>
                <w:color w:val="000000" w:themeColor="text1"/>
              </w:rPr>
              <w:t xml:space="preserve">template, in English. </w:t>
            </w:r>
          </w:p>
        </w:tc>
      </w:tr>
    </w:tbl>
    <w:p w14:paraId="70B8F5B0" w14:textId="02B65C80" w:rsidR="000B7514" w:rsidRDefault="000B7514" w:rsidP="000B7514">
      <w:pPr>
        <w:tabs>
          <w:tab w:val="left" w:pos="704"/>
        </w:tabs>
      </w:pPr>
      <w:r>
        <w:tab/>
      </w:r>
    </w:p>
    <w:p w14:paraId="2E8FEC7C" w14:textId="2F0F1582" w:rsidR="00825D0B" w:rsidRDefault="000B7514" w:rsidP="00930253">
      <w:r>
        <w:br w:type="textWrapping" w:clear="all"/>
      </w:r>
    </w:p>
    <w:p w14:paraId="66339035" w14:textId="7244533A" w:rsidR="00111CBE" w:rsidRPr="00BF6779" w:rsidRDefault="00111CBE" w:rsidP="00111CBE">
      <w:pPr>
        <w:pStyle w:val="Heading2"/>
      </w:pPr>
      <w:bookmarkStart w:id="18" w:name="_Toc158819743"/>
      <w:r>
        <w:t>6.2 Eligibility Criteria for EIT Food-affiliated participants</w:t>
      </w:r>
      <w:bookmarkEnd w:id="18"/>
    </w:p>
    <w:p w14:paraId="63303444" w14:textId="77777777" w:rsidR="00111CBE" w:rsidRPr="00825D0B" w:rsidRDefault="0017473E" w:rsidP="00111CBE">
      <w:pPr>
        <w:rPr>
          <w:rFonts w:cstheme="minorHAnsi"/>
        </w:rPr>
      </w:pPr>
      <w:hyperlink r:id="rId33" w:history="1">
        <w:r w:rsidR="00111CBE" w:rsidRPr="00750FA9">
          <w:rPr>
            <w:rStyle w:val="Hyperlink"/>
            <w:rFonts w:cstheme="minorHAnsi"/>
            <w:b/>
            <w:bCs/>
          </w:rPr>
          <w:t>Rising Food Stars</w:t>
        </w:r>
      </w:hyperlink>
      <w:r w:rsidR="00111CBE">
        <w:rPr>
          <w:rFonts w:cstheme="minorHAnsi"/>
        </w:rPr>
        <w:t xml:space="preserve"> and </w:t>
      </w:r>
      <w:r w:rsidR="00111CBE" w:rsidRPr="00750FA9">
        <w:rPr>
          <w:rFonts w:cstheme="minorHAnsi"/>
          <w:b/>
          <w:bCs/>
        </w:rPr>
        <w:t>EIT Food FAN</w:t>
      </w:r>
      <w:r w:rsidR="00111CBE">
        <w:rPr>
          <w:rFonts w:cstheme="minorHAnsi"/>
        </w:rPr>
        <w:t xml:space="preserve"> alumni from the past 3 years are </w:t>
      </w:r>
      <w:r w:rsidR="00111CBE" w:rsidRPr="008A6305">
        <w:rPr>
          <w:rFonts w:cstheme="minorHAnsi"/>
          <w:b/>
          <w:bCs/>
        </w:rPr>
        <w:t>eligible</w:t>
      </w:r>
      <w:r w:rsidR="00111CBE" w:rsidRPr="00A73E6C">
        <w:rPr>
          <w:rFonts w:cstheme="minorHAnsi"/>
        </w:rPr>
        <w:t xml:space="preserve"> </w:t>
      </w:r>
      <w:r w:rsidR="00111CBE">
        <w:rPr>
          <w:rFonts w:cstheme="minorHAnsi"/>
        </w:rPr>
        <w:t xml:space="preserve">to apply for this Fast Track to Market opportunity, provided their membership has been confirmed before signing the sub-grant agreement. </w:t>
      </w:r>
    </w:p>
    <w:p w14:paraId="4B520DF0" w14:textId="77777777" w:rsidR="00111CBE" w:rsidRDefault="00111CBE" w:rsidP="00111CBE">
      <w:pPr>
        <w:rPr>
          <w:rFonts w:cstheme="minorHAnsi"/>
        </w:rPr>
      </w:pPr>
      <w:r w:rsidRPr="00A73E6C">
        <w:rPr>
          <w:rFonts w:cstheme="minorHAnsi"/>
        </w:rPr>
        <w:t xml:space="preserve">Companies with an SME EIT Food partners status </w:t>
      </w:r>
      <w:r w:rsidRPr="00A73E6C">
        <w:rPr>
          <w:rStyle w:val="FootnoteReference"/>
          <w:rFonts w:cstheme="minorHAnsi"/>
        </w:rPr>
        <w:footnoteReference w:id="2"/>
      </w:r>
      <w:r w:rsidRPr="00A73E6C">
        <w:rPr>
          <w:rFonts w:cstheme="minorHAnsi"/>
        </w:rPr>
        <w:t xml:space="preserve"> are </w:t>
      </w:r>
      <w:r>
        <w:rPr>
          <w:rFonts w:cstheme="minorHAnsi"/>
        </w:rPr>
        <w:t xml:space="preserve">also </w:t>
      </w:r>
      <w:r w:rsidRPr="00E80705">
        <w:rPr>
          <w:rFonts w:cstheme="minorHAnsi"/>
          <w:b/>
          <w:bCs/>
        </w:rPr>
        <w:t>eligible</w:t>
      </w:r>
      <w:r w:rsidRPr="00A73E6C">
        <w:rPr>
          <w:rFonts w:cstheme="minorHAnsi"/>
        </w:rPr>
        <w:t xml:space="preserve"> to benefit from the Fast Track to Market. The partner status must be obtained before signing the sub</w:t>
      </w:r>
      <w:r>
        <w:rPr>
          <w:rFonts w:cstheme="minorHAnsi"/>
        </w:rPr>
        <w:t>-</w:t>
      </w:r>
      <w:r w:rsidRPr="00A73E6C">
        <w:rPr>
          <w:rFonts w:cstheme="minorHAnsi"/>
        </w:rPr>
        <w:t xml:space="preserve">grant agreement. </w:t>
      </w:r>
    </w:p>
    <w:p w14:paraId="25ED85FB" w14:textId="573C5CD3" w:rsidR="00111CBE" w:rsidRPr="0041687C" w:rsidRDefault="00111CBE" w:rsidP="00111CBE">
      <w:pPr>
        <w:pStyle w:val="Heading2"/>
      </w:pPr>
      <w:bookmarkStart w:id="19" w:name="_Toc158819744"/>
      <w:r>
        <w:t>6.3</w:t>
      </w:r>
      <w:r w:rsidRPr="0041687C">
        <w:t xml:space="preserve"> Exclusion</w:t>
      </w:r>
      <w:bookmarkEnd w:id="19"/>
      <w:r w:rsidRPr="0041687C">
        <w:t xml:space="preserve"> </w:t>
      </w:r>
    </w:p>
    <w:p w14:paraId="41007A1E" w14:textId="1FFA08CF" w:rsidR="00C42CDA" w:rsidRPr="00E92AF5" w:rsidRDefault="00111CBE" w:rsidP="00E92AF5">
      <w:pPr>
        <w:rPr>
          <w:rFonts w:cstheme="minorHAnsi"/>
        </w:rPr>
      </w:pPr>
      <w:bookmarkStart w:id="20" w:name="_Hlk79657785"/>
      <w:r>
        <w:rPr>
          <w:rFonts w:cstheme="minorHAnsi"/>
        </w:rPr>
        <w:t xml:space="preserve">An applicant will be deemed ineligible </w:t>
      </w:r>
      <w:r w:rsidRPr="00A73E6C">
        <w:rPr>
          <w:rFonts w:cstheme="minorHAnsi"/>
        </w:rPr>
        <w:t xml:space="preserve">if they </w:t>
      </w:r>
      <w:bookmarkStart w:id="21" w:name="_Hlk79662144"/>
      <w:bookmarkStart w:id="22" w:name="_Hlk79657772"/>
      <w:bookmarkEnd w:id="20"/>
      <w:r w:rsidRPr="00A73E6C">
        <w:rPr>
          <w:rFonts w:cstheme="minorHAnsi"/>
        </w:rPr>
        <w:t xml:space="preserve">are a beneficiary in an EIT Food </w:t>
      </w:r>
      <w:r>
        <w:rPr>
          <w:rFonts w:cstheme="minorHAnsi"/>
        </w:rPr>
        <w:t>funded project</w:t>
      </w:r>
      <w:r w:rsidRPr="00A73E6C">
        <w:rPr>
          <w:rFonts w:cstheme="minorHAnsi"/>
        </w:rPr>
        <w:t xml:space="preserve"> in 2024, conducting similar testing or marketing activities for the similar technological solution in a similar geographical market with the same legal entities involved</w:t>
      </w:r>
      <w:bookmarkEnd w:id="21"/>
      <w:r w:rsidRPr="00A73E6C">
        <w:rPr>
          <w:rFonts w:cstheme="minorHAnsi"/>
        </w:rPr>
        <w:t>.</w:t>
      </w:r>
      <w:bookmarkStart w:id="23" w:name="_Toc79045399"/>
      <w:bookmarkEnd w:id="22"/>
      <w:bookmarkEnd w:id="23"/>
    </w:p>
    <w:p w14:paraId="63188AF6" w14:textId="1D27CC01" w:rsidR="00F74C87" w:rsidRDefault="005C2A98" w:rsidP="00E92AF5">
      <w:pPr>
        <w:pStyle w:val="Heading2"/>
      </w:pPr>
      <w:bookmarkStart w:id="24" w:name="_Toc158819745"/>
      <w:r>
        <w:t xml:space="preserve">6.4 </w:t>
      </w:r>
      <w:r w:rsidR="0049127C" w:rsidRPr="0041687C">
        <w:t>Evaluation</w:t>
      </w:r>
      <w:r w:rsidR="00FA6CFE" w:rsidRPr="0041687C">
        <w:t xml:space="preserve"> </w:t>
      </w:r>
      <w:r w:rsidR="00E0336D" w:rsidRPr="0041687C">
        <w:t>Process</w:t>
      </w:r>
      <w:bookmarkEnd w:id="24"/>
    </w:p>
    <w:p w14:paraId="0EFA1DED" w14:textId="77777777" w:rsidR="00E777D3" w:rsidRDefault="00E777D3" w:rsidP="00E777D3">
      <w:pPr>
        <w:spacing w:after="0" w:line="240" w:lineRule="auto"/>
        <w:rPr>
          <w:rFonts w:ascii="Calibri" w:eastAsia="Calibri" w:hAnsi="Calibri" w:cs="Calibri"/>
          <w:color w:val="000000" w:themeColor="text1"/>
        </w:rPr>
      </w:pPr>
      <w:r w:rsidRPr="3C78F24C">
        <w:rPr>
          <w:rFonts w:ascii="Calibri" w:eastAsia="Calibri" w:hAnsi="Calibri" w:cs="Calibri"/>
          <w:color w:val="000000" w:themeColor="text1"/>
        </w:rPr>
        <w:t>At least 3 external evaluators and 1 internal evaluator will evaluate proposals based on the criteria below. All external evaluators have been selected in an open and transparent process and must contractually agree to recuse themselves in the event of a conflict of interest.</w:t>
      </w:r>
    </w:p>
    <w:p w14:paraId="73E22E5D" w14:textId="77777777" w:rsidR="00880976" w:rsidRDefault="00880976" w:rsidP="00880976">
      <w:pPr>
        <w:spacing w:after="0" w:line="240" w:lineRule="auto"/>
        <w:rPr>
          <w:rFonts w:ascii="Calibri" w:eastAsia="Calibri" w:hAnsi="Calibri" w:cs="Calibri"/>
          <w:color w:val="000000" w:themeColor="text1"/>
        </w:rPr>
      </w:pPr>
    </w:p>
    <w:p w14:paraId="090FAE68" w14:textId="7CF39CD0" w:rsidR="00C45BBB" w:rsidRDefault="00935905" w:rsidP="00880976">
      <w:pPr>
        <w:spacing w:after="0" w:line="240" w:lineRule="auto"/>
        <w:rPr>
          <w:rFonts w:ascii="Calibri" w:eastAsia="Calibri" w:hAnsi="Calibri" w:cs="Calibri"/>
          <w:color w:val="000000" w:themeColor="text1"/>
        </w:rPr>
      </w:pPr>
      <w:r w:rsidRPr="00935905">
        <w:rPr>
          <w:rFonts w:ascii="Calibri" w:eastAsia="Calibri" w:hAnsi="Calibri" w:cs="Calibri"/>
          <w:color w:val="000000" w:themeColor="text1"/>
        </w:rPr>
        <w:t>The following criteria and weighting will be used in the assessment</w:t>
      </w:r>
      <w:r>
        <w:rPr>
          <w:rFonts w:ascii="Calibri" w:eastAsia="Calibri" w:hAnsi="Calibri" w:cs="Calibri"/>
          <w:color w:val="000000" w:themeColor="text1"/>
        </w:rPr>
        <w:t>:</w:t>
      </w:r>
    </w:p>
    <w:p w14:paraId="61C8F585" w14:textId="77777777" w:rsidR="00880976" w:rsidRDefault="00880976" w:rsidP="00880976">
      <w:pPr>
        <w:spacing w:after="0" w:line="240" w:lineRule="auto"/>
        <w:rPr>
          <w:rFonts w:ascii="Calibri" w:eastAsia="Calibri" w:hAnsi="Calibri" w:cs="Calibri"/>
          <w:color w:val="000000" w:themeColor="text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5805"/>
        <w:gridCol w:w="765"/>
      </w:tblGrid>
      <w:tr w:rsidR="00880976" w:rsidRPr="0013741B" w14:paraId="61BF23D0" w14:textId="77777777" w:rsidTr="0066016A">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57FEA92" w14:textId="77777777" w:rsidR="00880976" w:rsidRPr="0066016A" w:rsidRDefault="00880976" w:rsidP="007B299B">
            <w:pPr>
              <w:spacing w:after="0" w:line="240" w:lineRule="auto"/>
              <w:textAlignment w:val="baseline"/>
              <w:rPr>
                <w:rFonts w:ascii="Segoe UI" w:eastAsia="Times New Roman" w:hAnsi="Segoe UI" w:cs="Segoe UI"/>
                <w:b/>
                <w:bCs/>
                <w:sz w:val="18"/>
                <w:szCs w:val="18"/>
                <w:lang w:val="de-DE" w:eastAsia="de-DE"/>
              </w:rPr>
            </w:pPr>
            <w:r w:rsidRPr="0066016A">
              <w:rPr>
                <w:rFonts w:ascii="Calibri" w:eastAsia="Times New Roman" w:hAnsi="Calibri" w:cs="Calibri"/>
                <w:b/>
                <w:bCs/>
                <w:lang w:eastAsia="de-DE"/>
              </w:rPr>
              <w:t>Category</w:t>
            </w:r>
            <w:r w:rsidRPr="0066016A">
              <w:rPr>
                <w:rFonts w:ascii="Calibri" w:eastAsia="Times New Roman" w:hAnsi="Calibri" w:cs="Calibri"/>
                <w:b/>
                <w:bCs/>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756DB86" w14:textId="77777777" w:rsidR="00880976" w:rsidRPr="0066016A" w:rsidRDefault="00880976" w:rsidP="007B299B">
            <w:pPr>
              <w:spacing w:after="0" w:line="240" w:lineRule="auto"/>
              <w:textAlignment w:val="baseline"/>
              <w:rPr>
                <w:rFonts w:ascii="Segoe UI" w:eastAsia="Times New Roman" w:hAnsi="Segoe UI" w:cs="Segoe UI"/>
                <w:b/>
                <w:bCs/>
                <w:sz w:val="18"/>
                <w:szCs w:val="18"/>
                <w:lang w:val="de-DE" w:eastAsia="de-DE"/>
              </w:rPr>
            </w:pPr>
            <w:r w:rsidRPr="0066016A">
              <w:rPr>
                <w:rFonts w:ascii="Calibri" w:eastAsia="Times New Roman" w:hAnsi="Calibri" w:cs="Calibri"/>
                <w:b/>
                <w:bCs/>
                <w:lang w:eastAsia="de-DE"/>
              </w:rPr>
              <w:t>Description</w:t>
            </w:r>
            <w:r w:rsidRPr="0066016A">
              <w:rPr>
                <w:rFonts w:ascii="Calibri" w:eastAsia="Times New Roman" w:hAnsi="Calibri" w:cs="Calibri"/>
                <w:b/>
                <w:bCs/>
                <w:lang w:val="de-DE" w:eastAsia="de-DE"/>
              </w:rPr>
              <w:t>  </w:t>
            </w:r>
          </w:p>
        </w:tc>
        <w:tc>
          <w:tcPr>
            <w:tcW w:w="76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A308083" w14:textId="77777777" w:rsidR="00880976" w:rsidRPr="0066016A" w:rsidRDefault="00880976" w:rsidP="007B299B">
            <w:pPr>
              <w:spacing w:after="0" w:line="240" w:lineRule="auto"/>
              <w:textAlignment w:val="baseline"/>
              <w:rPr>
                <w:rFonts w:ascii="Segoe UI" w:eastAsia="Times New Roman" w:hAnsi="Segoe UI" w:cs="Segoe UI"/>
                <w:b/>
                <w:bCs/>
                <w:sz w:val="18"/>
                <w:szCs w:val="18"/>
                <w:lang w:val="de-DE" w:eastAsia="de-DE"/>
              </w:rPr>
            </w:pPr>
            <w:r w:rsidRPr="0066016A">
              <w:rPr>
                <w:rFonts w:ascii="Calibri" w:eastAsia="Times New Roman" w:hAnsi="Calibri" w:cs="Calibri"/>
                <w:b/>
                <w:bCs/>
                <w:lang w:eastAsia="de-DE"/>
              </w:rPr>
              <w:t>Score</w:t>
            </w:r>
            <w:r w:rsidRPr="0066016A">
              <w:rPr>
                <w:rFonts w:ascii="Calibri" w:eastAsia="Times New Roman" w:hAnsi="Calibri" w:cs="Calibri"/>
                <w:b/>
                <w:bCs/>
                <w:lang w:val="de-DE" w:eastAsia="de-DE"/>
              </w:rPr>
              <w:t>  </w:t>
            </w:r>
          </w:p>
        </w:tc>
      </w:tr>
      <w:tr w:rsidR="00880976" w:rsidRPr="0013741B" w14:paraId="74103089" w14:textId="77777777" w:rsidTr="007B299B">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CCDD6EC" w14:textId="352550C2" w:rsidR="00880976" w:rsidRPr="004A10A3" w:rsidRDefault="00051B17" w:rsidP="007B299B">
            <w:pPr>
              <w:spacing w:after="0" w:line="240" w:lineRule="auto"/>
              <w:textAlignment w:val="baseline"/>
              <w:rPr>
                <w:rFonts w:eastAsia="Times New Roman" w:cstheme="minorHAnsi"/>
                <w:b/>
                <w:bCs/>
                <w:lang w:eastAsia="de-DE"/>
              </w:rPr>
            </w:pPr>
            <w:r w:rsidRPr="004A10A3">
              <w:rPr>
                <w:rFonts w:eastAsia="Times New Roman" w:cstheme="minorHAnsi"/>
                <w:b/>
                <w:bCs/>
                <w:lang w:eastAsia="de-DE"/>
              </w:rPr>
              <w:t>Excellence</w:t>
            </w:r>
          </w:p>
          <w:p w14:paraId="7FBB1F4E"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r w:rsidRPr="004A10A3">
              <w:rPr>
                <w:rFonts w:ascii="Calibri" w:eastAsia="Times New Roman" w:hAnsi="Calibri" w:cs="Calibri"/>
                <w:lang w:eastAsia="de-DE"/>
              </w:rPr>
              <w:t> </w:t>
            </w:r>
            <w:r w:rsidRPr="004A10A3">
              <w:rPr>
                <w:rFonts w:ascii="Calibri" w:eastAsia="Times New Roman" w:hAnsi="Calibri" w:cs="Calibri"/>
                <w:lang w:val="de-DE" w:eastAsia="de-DE"/>
              </w:rPr>
              <w:t> </w:t>
            </w:r>
          </w:p>
          <w:p w14:paraId="48ACF20A"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p>
          <w:p w14:paraId="2DCE4978" w14:textId="3C3C2F92" w:rsidR="00880976" w:rsidRPr="004A10A3" w:rsidRDefault="00590D75" w:rsidP="007B299B">
            <w:pPr>
              <w:spacing w:after="0" w:line="240" w:lineRule="auto"/>
              <w:textAlignment w:val="baseline"/>
              <w:rPr>
                <w:rFonts w:ascii="Segoe UI" w:eastAsia="Times New Roman" w:hAnsi="Segoe UI" w:cs="Segoe UI"/>
                <w:sz w:val="18"/>
                <w:szCs w:val="18"/>
                <w:lang w:val="de-DE" w:eastAsia="de-DE"/>
              </w:rPr>
            </w:pPr>
            <w:r>
              <w:rPr>
                <w:rFonts w:ascii="Calibri" w:eastAsia="Times New Roman" w:hAnsi="Calibri" w:cs="Calibri"/>
                <w:b/>
                <w:bCs/>
                <w:lang w:eastAsia="de-DE"/>
              </w:rPr>
              <w:t>3</w:t>
            </w:r>
            <w:r w:rsidR="00880976" w:rsidRPr="004A10A3">
              <w:rPr>
                <w:rFonts w:ascii="Calibri" w:eastAsia="Times New Roman" w:hAnsi="Calibri" w:cs="Calibri"/>
                <w:b/>
                <w:bCs/>
                <w:lang w:eastAsia="de-DE"/>
              </w:rPr>
              <w:t>0%</w:t>
            </w:r>
            <w:r w:rsidR="00880976" w:rsidRPr="004A10A3">
              <w:rPr>
                <w:rFonts w:ascii="Calibri" w:eastAsia="Times New Roman" w:hAnsi="Calibri" w:cs="Calibri"/>
                <w:lang w:val="de-DE" w:eastAsia="de-DE"/>
              </w:rPr>
              <w:t>  </w:t>
            </w:r>
          </w:p>
          <w:p w14:paraId="5DE54048"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r w:rsidRPr="004A10A3">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EACCC18" w14:textId="105966F4" w:rsidR="0024189F" w:rsidRPr="0024189F" w:rsidRDefault="0024189F" w:rsidP="0024189F">
            <w:pPr>
              <w:numPr>
                <w:ilvl w:val="0"/>
                <w:numId w:val="15"/>
              </w:numPr>
              <w:spacing w:after="0" w:line="240" w:lineRule="auto"/>
              <w:textAlignment w:val="baseline"/>
              <w:rPr>
                <w:rFonts w:ascii="Calibri" w:eastAsia="Times New Roman" w:hAnsi="Calibri" w:cs="Calibri"/>
                <w:color w:val="000000"/>
              </w:rPr>
            </w:pPr>
            <w:r w:rsidRPr="0024189F">
              <w:rPr>
                <w:rFonts w:ascii="Calibri" w:eastAsia="Times New Roman" w:hAnsi="Calibri" w:cs="Calibri"/>
                <w:color w:val="000000"/>
              </w:rPr>
              <w:t xml:space="preserve">Ambitious, </w:t>
            </w:r>
            <w:proofErr w:type="gramStart"/>
            <w:r w:rsidRPr="0024189F">
              <w:rPr>
                <w:rFonts w:ascii="Calibri" w:eastAsia="Times New Roman" w:hAnsi="Calibri" w:cs="Calibri"/>
                <w:color w:val="000000"/>
              </w:rPr>
              <w:t>disruptive</w:t>
            </w:r>
            <w:proofErr w:type="gramEnd"/>
            <w:r w:rsidRPr="0024189F">
              <w:rPr>
                <w:rFonts w:ascii="Calibri" w:eastAsia="Times New Roman" w:hAnsi="Calibri" w:cs="Calibri"/>
                <w:color w:val="000000"/>
              </w:rPr>
              <w:t xml:space="preserve"> and impact-oriented vision/mission of the SME aligns with one or more </w:t>
            </w:r>
            <w:r w:rsidR="00C04987">
              <w:rPr>
                <w:rFonts w:ascii="Calibri" w:eastAsia="Times New Roman" w:hAnsi="Calibri" w:cs="Calibri"/>
                <w:color w:val="000000"/>
              </w:rPr>
              <w:t xml:space="preserve">of </w:t>
            </w:r>
            <w:r w:rsidRPr="0024189F">
              <w:rPr>
                <w:rFonts w:ascii="Calibri" w:eastAsia="Times New Roman" w:hAnsi="Calibri" w:cs="Calibri"/>
                <w:color w:val="000000"/>
              </w:rPr>
              <w:t>EIT Food</w:t>
            </w:r>
            <w:r w:rsidR="00C04987">
              <w:rPr>
                <w:rFonts w:ascii="Calibri" w:eastAsia="Times New Roman" w:hAnsi="Calibri" w:cs="Calibri"/>
                <w:color w:val="000000"/>
              </w:rPr>
              <w:t>’s</w:t>
            </w:r>
            <w:r w:rsidRPr="0024189F">
              <w:rPr>
                <w:rFonts w:ascii="Calibri" w:eastAsia="Times New Roman" w:hAnsi="Calibri" w:cs="Calibri"/>
                <w:color w:val="000000"/>
              </w:rPr>
              <w:t xml:space="preserve"> </w:t>
            </w:r>
            <w:r w:rsidR="004C4E6F">
              <w:rPr>
                <w:rFonts w:ascii="Calibri" w:eastAsia="Times New Roman" w:hAnsi="Calibri" w:cs="Calibri"/>
                <w:color w:val="000000"/>
              </w:rPr>
              <w:t>m</w:t>
            </w:r>
            <w:r w:rsidRPr="0024189F">
              <w:rPr>
                <w:rFonts w:ascii="Calibri" w:eastAsia="Times New Roman" w:hAnsi="Calibri" w:cs="Calibri"/>
                <w:color w:val="000000"/>
              </w:rPr>
              <w:t>issions</w:t>
            </w:r>
          </w:p>
          <w:p w14:paraId="361E845E" w14:textId="1E8CF859" w:rsidR="0024189F" w:rsidRPr="0056043E" w:rsidRDefault="0056043E" w:rsidP="0056043E">
            <w:pPr>
              <w:numPr>
                <w:ilvl w:val="0"/>
                <w:numId w:val="15"/>
              </w:numPr>
              <w:spacing w:after="0" w:line="240" w:lineRule="auto"/>
              <w:textAlignment w:val="baseline"/>
              <w:rPr>
                <w:rFonts w:ascii="Calibri" w:eastAsia="Times New Roman" w:hAnsi="Calibri" w:cs="Calibri"/>
                <w:color w:val="000000"/>
              </w:rPr>
            </w:pPr>
            <w:r w:rsidRPr="0056043E">
              <w:rPr>
                <w:rFonts w:ascii="Calibri" w:eastAsia="Times New Roman" w:hAnsi="Calibri" w:cs="Calibri"/>
                <w:color w:val="000000"/>
                <w:lang w:val="en-GB"/>
              </w:rPr>
              <w:t xml:space="preserve">The </w:t>
            </w:r>
            <w:r w:rsidR="004C4E6F">
              <w:rPr>
                <w:rFonts w:ascii="Calibri" w:eastAsia="Times New Roman" w:hAnsi="Calibri" w:cs="Calibri"/>
                <w:color w:val="000000"/>
                <w:lang w:val="en-GB"/>
              </w:rPr>
              <w:t>fast-tracked</w:t>
            </w:r>
            <w:r w:rsidRPr="0056043E">
              <w:rPr>
                <w:rFonts w:ascii="Calibri" w:eastAsia="Times New Roman" w:hAnsi="Calibri" w:cs="Calibri"/>
                <w:color w:val="000000"/>
                <w:lang w:val="en-GB"/>
              </w:rPr>
              <w:t xml:space="preserve"> technology/</w:t>
            </w:r>
            <w:r w:rsidRPr="0056043E">
              <w:rPr>
                <w:rFonts w:ascii="Calibri" w:eastAsia="Times New Roman" w:hAnsi="Calibri" w:cs="Calibri"/>
                <w:color w:val="000000"/>
              </w:rPr>
              <w:t>product/service</w:t>
            </w:r>
            <w:r w:rsidRPr="0056043E">
              <w:rPr>
                <w:rFonts w:ascii="Calibri" w:eastAsia="Times New Roman" w:hAnsi="Calibri" w:cs="Calibri"/>
                <w:color w:val="000000"/>
                <w:lang w:val="en-GB"/>
              </w:rPr>
              <w:t xml:space="preserve">/solution in question delivers </w:t>
            </w:r>
            <w:proofErr w:type="gramStart"/>
            <w:r w:rsidRPr="0056043E">
              <w:rPr>
                <w:rFonts w:ascii="Calibri" w:eastAsia="Times New Roman" w:hAnsi="Calibri" w:cs="Calibri"/>
                <w:color w:val="000000"/>
                <w:lang w:val="en-GB"/>
              </w:rPr>
              <w:t>an</w:t>
            </w:r>
            <w:proofErr w:type="gramEnd"/>
            <w:r w:rsidRPr="0056043E">
              <w:rPr>
                <w:rFonts w:ascii="Calibri" w:eastAsia="Times New Roman" w:hAnsi="Calibri" w:cs="Calibri"/>
                <w:color w:val="000000"/>
                <w:lang w:val="en-GB"/>
              </w:rPr>
              <w:t xml:space="preserve"> </w:t>
            </w:r>
            <w:r>
              <w:rPr>
                <w:rFonts w:ascii="Calibri" w:eastAsia="Times New Roman" w:hAnsi="Calibri" w:cs="Calibri"/>
                <w:color w:val="000000"/>
                <w:lang w:val="en-GB"/>
              </w:rPr>
              <w:t xml:space="preserve">unique </w:t>
            </w:r>
            <w:r w:rsidR="0024189F" w:rsidRPr="0056043E">
              <w:rPr>
                <w:rFonts w:ascii="Calibri" w:eastAsia="Times New Roman" w:hAnsi="Calibri" w:cs="Calibri"/>
                <w:color w:val="000000"/>
              </w:rPr>
              <w:t>value proposition</w:t>
            </w:r>
            <w:r w:rsidR="009401B2">
              <w:rPr>
                <w:rFonts w:ascii="Calibri" w:eastAsia="Times New Roman" w:hAnsi="Calibri" w:cs="Calibri"/>
                <w:color w:val="000000"/>
              </w:rPr>
              <w:t>,</w:t>
            </w:r>
            <w:r w:rsidR="00C447ED">
              <w:rPr>
                <w:rFonts w:ascii="Calibri" w:eastAsia="Times New Roman" w:hAnsi="Calibri" w:cs="Calibri"/>
                <w:color w:val="000000"/>
              </w:rPr>
              <w:t xml:space="preserve"> aligned with </w:t>
            </w:r>
            <w:r w:rsidR="004C4E6F">
              <w:rPr>
                <w:rFonts w:ascii="Calibri" w:eastAsia="Times New Roman" w:hAnsi="Calibri" w:cs="Calibri"/>
                <w:color w:val="000000"/>
              </w:rPr>
              <w:t>EIT Food</w:t>
            </w:r>
            <w:r w:rsidR="00C04987">
              <w:rPr>
                <w:rFonts w:ascii="Calibri" w:eastAsia="Times New Roman" w:hAnsi="Calibri" w:cs="Calibri"/>
                <w:color w:val="000000"/>
              </w:rPr>
              <w:t>’s</w:t>
            </w:r>
            <w:r w:rsidR="004C4E6F">
              <w:rPr>
                <w:rFonts w:ascii="Calibri" w:eastAsia="Times New Roman" w:hAnsi="Calibri" w:cs="Calibri"/>
                <w:color w:val="000000"/>
              </w:rPr>
              <w:t xml:space="preserve"> missions</w:t>
            </w:r>
          </w:p>
          <w:p w14:paraId="4BC8E735" w14:textId="58DDCD73" w:rsidR="0024189F" w:rsidRPr="0024189F" w:rsidRDefault="0024189F" w:rsidP="0024189F">
            <w:pPr>
              <w:numPr>
                <w:ilvl w:val="0"/>
                <w:numId w:val="15"/>
              </w:numPr>
              <w:spacing w:after="0" w:line="240" w:lineRule="auto"/>
              <w:textAlignment w:val="baseline"/>
              <w:rPr>
                <w:rFonts w:ascii="Calibri" w:eastAsia="Times New Roman" w:hAnsi="Calibri" w:cs="Calibri"/>
                <w:color w:val="000000"/>
              </w:rPr>
            </w:pPr>
            <w:r w:rsidRPr="0024189F">
              <w:rPr>
                <w:rFonts w:ascii="Calibri" w:eastAsia="Times New Roman" w:hAnsi="Calibri" w:cs="Calibri"/>
                <w:color w:val="000000"/>
              </w:rPr>
              <w:t xml:space="preserve">Fast Track funding </w:t>
            </w:r>
            <w:r w:rsidR="00E92168">
              <w:rPr>
                <w:rFonts w:ascii="Calibri" w:eastAsia="Times New Roman" w:hAnsi="Calibri" w:cs="Calibri"/>
                <w:color w:val="000000"/>
                <w:lang w:val="en-GB"/>
              </w:rPr>
              <w:t xml:space="preserve">mechanism directly </w:t>
            </w:r>
            <w:r w:rsidRPr="0024189F">
              <w:rPr>
                <w:rFonts w:ascii="Calibri" w:eastAsia="Times New Roman" w:hAnsi="Calibri" w:cs="Calibri"/>
                <w:color w:val="000000"/>
              </w:rPr>
              <w:t>serve</w:t>
            </w:r>
            <w:r w:rsidR="0056043E">
              <w:rPr>
                <w:rFonts w:ascii="Calibri" w:eastAsia="Times New Roman" w:hAnsi="Calibri" w:cs="Calibri"/>
                <w:color w:val="000000"/>
                <w:lang w:val="en-GB"/>
              </w:rPr>
              <w:t>s</w:t>
            </w:r>
            <w:r w:rsidRPr="0024189F">
              <w:rPr>
                <w:rFonts w:ascii="Calibri" w:eastAsia="Times New Roman" w:hAnsi="Calibri" w:cs="Calibri"/>
                <w:color w:val="000000"/>
              </w:rPr>
              <w:t xml:space="preserve"> the purpose of accelerating the SME’s commercial success</w:t>
            </w:r>
          </w:p>
          <w:p w14:paraId="307F2530" w14:textId="58854759" w:rsidR="0028512F" w:rsidRPr="00352819" w:rsidRDefault="0028512F" w:rsidP="002A5578">
            <w:pPr>
              <w:pStyle w:val="ListParagraph"/>
              <w:spacing w:after="0" w:line="240" w:lineRule="auto"/>
              <w:textAlignment w:val="baseline"/>
              <w:rPr>
                <w:rFonts w:ascii="Calibri" w:eastAsia="Times New Roman" w:hAnsi="Calibri" w:cs="Calibri"/>
                <w:lang w:val="en-GB" w:eastAsia="de-DE"/>
              </w:rPr>
            </w:pP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18C26101" w14:textId="77777777" w:rsidR="00880976" w:rsidRPr="0013741B" w:rsidRDefault="00880976" w:rsidP="007B299B">
            <w:pPr>
              <w:spacing w:after="0" w:line="240" w:lineRule="auto"/>
              <w:textAlignment w:val="baseline"/>
              <w:rPr>
                <w:rFonts w:ascii="Segoe UI" w:eastAsia="Times New Roman" w:hAnsi="Segoe UI" w:cs="Segoe UI"/>
                <w:sz w:val="18"/>
                <w:szCs w:val="18"/>
                <w:lang w:val="de-DE" w:eastAsia="de-DE"/>
              </w:rPr>
            </w:pPr>
            <w:r w:rsidRPr="0013741B">
              <w:rPr>
                <w:rFonts w:ascii="Calibri" w:eastAsia="Times New Roman" w:hAnsi="Calibri" w:cs="Calibri"/>
                <w:color w:val="000000"/>
                <w:lang w:eastAsia="de-DE"/>
              </w:rPr>
              <w:t>0-5 </w:t>
            </w:r>
            <w:r w:rsidRPr="0013741B">
              <w:rPr>
                <w:rFonts w:ascii="Calibri" w:eastAsia="Times New Roman" w:hAnsi="Calibri" w:cs="Calibri"/>
                <w:color w:val="000000"/>
                <w:lang w:val="de-DE" w:eastAsia="de-DE"/>
              </w:rPr>
              <w:t>  </w:t>
            </w:r>
          </w:p>
        </w:tc>
      </w:tr>
      <w:tr w:rsidR="00880976" w:rsidRPr="0013741B" w14:paraId="35181F76" w14:textId="77777777" w:rsidTr="003309B8">
        <w:trPr>
          <w:trHeight w:val="885"/>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2C22FB6C" w14:textId="0E76AC1F" w:rsidR="00880976" w:rsidRPr="004A10A3" w:rsidRDefault="0029317D" w:rsidP="007B299B">
            <w:pPr>
              <w:spacing w:after="0" w:line="240" w:lineRule="auto"/>
              <w:textAlignment w:val="baseline"/>
              <w:rPr>
                <w:rFonts w:ascii="Segoe UI" w:eastAsia="Times New Roman" w:hAnsi="Segoe UI" w:cs="Segoe UI"/>
                <w:sz w:val="18"/>
                <w:szCs w:val="18"/>
                <w:lang w:eastAsia="de-DE"/>
              </w:rPr>
            </w:pPr>
            <w:r w:rsidRPr="004A10A3">
              <w:rPr>
                <w:rFonts w:ascii="Calibri" w:eastAsia="Times New Roman" w:hAnsi="Calibri" w:cs="Calibri"/>
                <w:b/>
                <w:bCs/>
                <w:i/>
                <w:iCs/>
                <w:lang w:eastAsia="de-DE"/>
              </w:rPr>
              <w:t>The Technology</w:t>
            </w:r>
            <w:r w:rsidR="00880976" w:rsidRPr="004A10A3">
              <w:rPr>
                <w:rFonts w:ascii="Calibri" w:eastAsia="Times New Roman" w:hAnsi="Calibri" w:cs="Calibri"/>
                <w:b/>
                <w:bCs/>
                <w:lang w:eastAsia="de-DE"/>
              </w:rPr>
              <w:t> </w:t>
            </w:r>
            <w:r w:rsidR="002D5E60" w:rsidRPr="004A10A3">
              <w:rPr>
                <w:rFonts w:ascii="Calibri" w:eastAsia="Times New Roman" w:hAnsi="Calibri" w:cs="Calibri"/>
                <w:b/>
                <w:bCs/>
                <w:lang w:eastAsia="de-DE"/>
              </w:rPr>
              <w:t xml:space="preserve">&amp; the </w:t>
            </w:r>
            <w:r w:rsidR="00E8400D" w:rsidRPr="004A10A3">
              <w:rPr>
                <w:rFonts w:ascii="Calibri" w:eastAsia="Times New Roman" w:hAnsi="Calibri" w:cs="Calibri"/>
                <w:b/>
                <w:bCs/>
                <w:lang w:eastAsia="de-DE"/>
              </w:rPr>
              <w:t>M</w:t>
            </w:r>
            <w:r w:rsidR="002D5E60" w:rsidRPr="004A10A3">
              <w:rPr>
                <w:rFonts w:ascii="Calibri" w:eastAsia="Times New Roman" w:hAnsi="Calibri" w:cs="Calibri"/>
                <w:b/>
                <w:bCs/>
                <w:lang w:eastAsia="de-DE"/>
              </w:rPr>
              <w:t>arket</w:t>
            </w:r>
            <w:r w:rsidR="003A2CC4">
              <w:rPr>
                <w:rFonts w:ascii="Calibri" w:eastAsia="Times New Roman" w:hAnsi="Calibri" w:cs="Calibri"/>
                <w:b/>
                <w:bCs/>
                <w:lang w:eastAsia="de-DE"/>
              </w:rPr>
              <w:t xml:space="preserve"> potential</w:t>
            </w:r>
          </w:p>
          <w:p w14:paraId="55141741"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r w:rsidRPr="004A10A3">
              <w:rPr>
                <w:rFonts w:ascii="Calibri" w:eastAsia="Times New Roman" w:hAnsi="Calibri" w:cs="Calibri"/>
                <w:lang w:eastAsia="de-DE"/>
              </w:rPr>
              <w:t> </w:t>
            </w:r>
            <w:r w:rsidRPr="004A10A3">
              <w:rPr>
                <w:rFonts w:ascii="Calibri" w:eastAsia="Times New Roman" w:hAnsi="Calibri" w:cs="Calibri"/>
                <w:lang w:val="de-DE" w:eastAsia="de-DE"/>
              </w:rPr>
              <w:t> </w:t>
            </w:r>
          </w:p>
          <w:p w14:paraId="7ECCFB37"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r w:rsidRPr="004A10A3">
              <w:rPr>
                <w:rFonts w:ascii="Calibri" w:eastAsia="Times New Roman" w:hAnsi="Calibri" w:cs="Calibri"/>
                <w:b/>
                <w:bCs/>
                <w:lang w:eastAsia="de-DE"/>
              </w:rPr>
              <w:t>30%</w:t>
            </w:r>
            <w:r w:rsidRPr="004A10A3">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7E718638" w14:textId="72AECB94" w:rsidR="009A4A5B" w:rsidRPr="009A4A5B" w:rsidRDefault="009A4A5B" w:rsidP="009A4A5B">
            <w:pPr>
              <w:numPr>
                <w:ilvl w:val="0"/>
                <w:numId w:val="15"/>
              </w:numPr>
              <w:spacing w:after="0" w:line="240" w:lineRule="auto"/>
              <w:textAlignment w:val="baseline"/>
              <w:rPr>
                <w:rFonts w:ascii="Calibri" w:eastAsia="Times New Roman" w:hAnsi="Calibri" w:cs="Calibri"/>
                <w:color w:val="000000"/>
              </w:rPr>
            </w:pPr>
            <w:r w:rsidRPr="009A4A5B">
              <w:rPr>
                <w:rFonts w:ascii="Calibri" w:eastAsia="Times New Roman" w:hAnsi="Calibri" w:cs="Calibri"/>
                <w:color w:val="000000"/>
              </w:rPr>
              <w:t>An analysis of the identified total addressable market,</w:t>
            </w:r>
            <w:r w:rsidR="00907D74">
              <w:rPr>
                <w:rFonts w:ascii="Calibri" w:eastAsia="Times New Roman" w:hAnsi="Calibri" w:cs="Calibri"/>
                <w:color w:val="000000"/>
                <w:lang w:val="en-GB"/>
              </w:rPr>
              <w:t xml:space="preserve"> </w:t>
            </w:r>
            <w:r w:rsidR="004D48E3">
              <w:rPr>
                <w:rFonts w:ascii="Calibri" w:eastAsia="Times New Roman" w:hAnsi="Calibri" w:cs="Calibri"/>
                <w:color w:val="000000"/>
                <w:lang w:val="en-GB"/>
              </w:rPr>
              <w:t>t</w:t>
            </w:r>
            <w:r w:rsidR="0015443A">
              <w:rPr>
                <w:rFonts w:ascii="Calibri" w:eastAsia="Times New Roman" w:hAnsi="Calibri" w:cs="Calibri"/>
                <w:color w:val="000000"/>
                <w:lang w:val="en-GB"/>
              </w:rPr>
              <w:t>he serviceable obtainable market</w:t>
            </w:r>
            <w:r w:rsidR="004D48E3">
              <w:rPr>
                <w:rFonts w:ascii="Calibri" w:eastAsia="Times New Roman" w:hAnsi="Calibri" w:cs="Calibri"/>
                <w:color w:val="000000"/>
                <w:lang w:val="en-GB"/>
              </w:rPr>
              <w:t>,</w:t>
            </w:r>
            <w:r w:rsidR="0015443A">
              <w:rPr>
                <w:rFonts w:ascii="Calibri" w:eastAsia="Times New Roman" w:hAnsi="Calibri" w:cs="Calibri"/>
                <w:color w:val="000000"/>
                <w:lang w:val="en-GB"/>
              </w:rPr>
              <w:t xml:space="preserve"> </w:t>
            </w:r>
            <w:r w:rsidR="004F1C5C">
              <w:rPr>
                <w:rFonts w:ascii="Calibri" w:eastAsia="Times New Roman" w:hAnsi="Calibri" w:cs="Calibri"/>
                <w:color w:val="000000"/>
                <w:lang w:val="en-GB"/>
              </w:rPr>
              <w:t xml:space="preserve">the </w:t>
            </w:r>
            <w:r w:rsidRPr="009A4A5B">
              <w:rPr>
                <w:rFonts w:ascii="Calibri" w:eastAsia="Times New Roman" w:hAnsi="Calibri" w:cs="Calibri"/>
                <w:color w:val="000000"/>
              </w:rPr>
              <w:t>growth potential, and the level of competition yield</w:t>
            </w:r>
            <w:r w:rsidR="00E92168">
              <w:rPr>
                <w:rFonts w:ascii="Calibri" w:eastAsia="Times New Roman" w:hAnsi="Calibri" w:cs="Calibri"/>
                <w:color w:val="000000"/>
                <w:lang w:val="en-GB"/>
              </w:rPr>
              <w:t>s</w:t>
            </w:r>
            <w:r w:rsidRPr="009A4A5B">
              <w:rPr>
                <w:rFonts w:ascii="Calibri" w:eastAsia="Times New Roman" w:hAnsi="Calibri" w:cs="Calibri"/>
                <w:color w:val="000000"/>
              </w:rPr>
              <w:t xml:space="preserve"> </w:t>
            </w:r>
            <w:r w:rsidR="004F1C5C">
              <w:rPr>
                <w:rFonts w:ascii="Calibri" w:eastAsia="Times New Roman" w:hAnsi="Calibri" w:cs="Calibri"/>
                <w:color w:val="000000"/>
                <w:lang w:val="en-GB"/>
              </w:rPr>
              <w:t xml:space="preserve">commercially attractive </w:t>
            </w:r>
            <w:r w:rsidRPr="009A4A5B">
              <w:rPr>
                <w:rFonts w:ascii="Calibri" w:eastAsia="Times New Roman" w:hAnsi="Calibri" w:cs="Calibri"/>
                <w:color w:val="000000"/>
              </w:rPr>
              <w:t>and achievable results.</w:t>
            </w:r>
          </w:p>
          <w:p w14:paraId="64370F52" w14:textId="6BB9F254" w:rsidR="009A4A5B" w:rsidRPr="009A4A5B" w:rsidRDefault="00711018" w:rsidP="009A4A5B">
            <w:pPr>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lastRenderedPageBreak/>
              <w:t xml:space="preserve">Submitted documents </w:t>
            </w:r>
            <w:r w:rsidR="0020380A">
              <w:rPr>
                <w:rFonts w:ascii="Calibri" w:eastAsia="Times New Roman" w:hAnsi="Calibri" w:cs="Calibri"/>
                <w:color w:val="000000"/>
                <w:lang w:val="en-GB"/>
              </w:rPr>
              <w:t xml:space="preserve">denote </w:t>
            </w:r>
            <w:r>
              <w:rPr>
                <w:rFonts w:ascii="Calibri" w:eastAsia="Times New Roman" w:hAnsi="Calibri" w:cs="Calibri"/>
                <w:color w:val="000000"/>
                <w:lang w:val="en-GB"/>
              </w:rPr>
              <w:t>the presence</w:t>
            </w:r>
            <w:r w:rsidR="009A4A5B" w:rsidRPr="009A4A5B">
              <w:rPr>
                <w:rFonts w:ascii="Calibri" w:eastAsia="Times New Roman" w:hAnsi="Calibri" w:cs="Calibri"/>
                <w:color w:val="000000"/>
              </w:rPr>
              <w:t xml:space="preserve"> of</w:t>
            </w:r>
            <w:r>
              <w:rPr>
                <w:rFonts w:ascii="Calibri" w:eastAsia="Times New Roman" w:hAnsi="Calibri" w:cs="Calibri"/>
                <w:color w:val="000000"/>
                <w:lang w:val="en-GB"/>
              </w:rPr>
              <w:t xml:space="preserve"> a well thought-out</w:t>
            </w:r>
            <w:r w:rsidR="009A4A5B" w:rsidRPr="009A4A5B">
              <w:rPr>
                <w:rFonts w:ascii="Calibri" w:eastAsia="Times New Roman" w:hAnsi="Calibri" w:cs="Calibri"/>
                <w:color w:val="000000"/>
              </w:rPr>
              <w:t xml:space="preserve"> </w:t>
            </w:r>
            <w:r w:rsidR="0020380A">
              <w:rPr>
                <w:rFonts w:ascii="Calibri" w:eastAsia="Times New Roman" w:hAnsi="Calibri" w:cs="Calibri"/>
                <w:color w:val="000000"/>
                <w:lang w:val="en-GB"/>
              </w:rPr>
              <w:t xml:space="preserve">intellectual property </w:t>
            </w:r>
            <w:r w:rsidR="009A4A5B" w:rsidRPr="009A4A5B">
              <w:rPr>
                <w:rFonts w:ascii="Calibri" w:eastAsia="Times New Roman" w:hAnsi="Calibri" w:cs="Calibri"/>
                <w:color w:val="000000"/>
              </w:rPr>
              <w:t>strategy and safeguarded know-how/expertise</w:t>
            </w:r>
          </w:p>
          <w:p w14:paraId="2F53BC18" w14:textId="03CE736F" w:rsidR="009A4A5B" w:rsidRPr="009A4A5B" w:rsidRDefault="00E461EF" w:rsidP="009A4A5B">
            <w:pPr>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 xml:space="preserve">Project plan </w:t>
            </w:r>
            <w:r w:rsidR="00073D5F">
              <w:rPr>
                <w:rFonts w:ascii="Calibri" w:eastAsia="Times New Roman" w:hAnsi="Calibri" w:cs="Calibri"/>
                <w:color w:val="000000"/>
                <w:lang w:val="en-GB"/>
              </w:rPr>
              <w:t>evidences the f</w:t>
            </w:r>
            <w:r w:rsidR="009A4A5B" w:rsidRPr="009A4A5B">
              <w:rPr>
                <w:rFonts w:ascii="Calibri" w:eastAsia="Times New Roman" w:hAnsi="Calibri" w:cs="Calibri"/>
                <w:color w:val="000000"/>
              </w:rPr>
              <w:t>easibility to increase the MRL/TRL level of the innovation within the timeframe proposed to launch on the market</w:t>
            </w:r>
          </w:p>
          <w:p w14:paraId="3A63AF7F" w14:textId="38999E79" w:rsidR="009A4A5B" w:rsidRPr="009A4A5B" w:rsidRDefault="002A4462" w:rsidP="009A4A5B">
            <w:pPr>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 xml:space="preserve">Submitted documents indicate </w:t>
            </w:r>
            <w:r w:rsidR="008360B2">
              <w:rPr>
                <w:rFonts w:ascii="Calibri" w:eastAsia="Times New Roman" w:hAnsi="Calibri" w:cs="Calibri"/>
                <w:color w:val="000000"/>
                <w:lang w:val="en-GB"/>
              </w:rPr>
              <w:t xml:space="preserve">the </w:t>
            </w:r>
            <w:r w:rsidR="008360B2" w:rsidRPr="008360B2">
              <w:rPr>
                <w:rFonts w:ascii="Calibri" w:eastAsia="Times New Roman" w:hAnsi="Calibri" w:cs="Calibri"/>
                <w:color w:val="000000"/>
                <w:lang w:val="en-GB"/>
              </w:rPr>
              <w:t>robustness of the commercialisation strategy for the</w:t>
            </w:r>
            <w:r w:rsidR="00B42E6D">
              <w:rPr>
                <w:rFonts w:ascii="Calibri" w:eastAsia="Times New Roman" w:hAnsi="Calibri" w:cs="Calibri"/>
                <w:color w:val="000000"/>
                <w:lang w:val="en-GB"/>
              </w:rPr>
              <w:t xml:space="preserve"> t</w:t>
            </w:r>
            <w:r w:rsidR="00B42E6D" w:rsidRPr="00B42E6D">
              <w:rPr>
                <w:rFonts w:ascii="Calibri" w:eastAsia="Times New Roman" w:hAnsi="Calibri" w:cs="Calibri"/>
                <w:color w:val="000000"/>
                <w:lang w:val="en-GB"/>
              </w:rPr>
              <w:t>echnology/product/service/solution</w:t>
            </w:r>
            <w:r w:rsidR="00B42E6D">
              <w:rPr>
                <w:rFonts w:ascii="Calibri" w:eastAsia="Times New Roman" w:hAnsi="Calibri" w:cs="Calibri"/>
                <w:color w:val="000000"/>
                <w:lang w:val="en-GB"/>
              </w:rPr>
              <w:t xml:space="preserve"> in question, including but not limited to </w:t>
            </w:r>
            <w:r w:rsidR="009A4A5B" w:rsidRPr="009A4A5B">
              <w:rPr>
                <w:rFonts w:ascii="Calibri" w:eastAsia="Times New Roman" w:hAnsi="Calibri" w:cs="Calibri"/>
                <w:color w:val="000000"/>
              </w:rPr>
              <w:t xml:space="preserve">traction in the past 12 months with </w:t>
            </w:r>
            <w:r w:rsidR="000450BB">
              <w:rPr>
                <w:rFonts w:ascii="Calibri" w:eastAsia="Times New Roman" w:hAnsi="Calibri" w:cs="Calibri"/>
                <w:color w:val="000000"/>
                <w:lang w:val="en-GB"/>
              </w:rPr>
              <w:t>potential</w:t>
            </w:r>
            <w:r w:rsidR="009A4A5B">
              <w:rPr>
                <w:rFonts w:ascii="Calibri" w:eastAsia="Times New Roman" w:hAnsi="Calibri" w:cs="Calibri"/>
                <w:color w:val="000000"/>
                <w:lang w:val="en-GB"/>
              </w:rPr>
              <w:t xml:space="preserve"> </w:t>
            </w:r>
            <w:r w:rsidR="009A4A5B" w:rsidRPr="009A4A5B">
              <w:rPr>
                <w:rFonts w:ascii="Calibri" w:eastAsia="Times New Roman" w:hAnsi="Calibri" w:cs="Calibri"/>
                <w:color w:val="000000"/>
              </w:rPr>
              <w:t>customer</w:t>
            </w:r>
            <w:r w:rsidR="004C4E6F">
              <w:rPr>
                <w:rFonts w:ascii="Calibri" w:eastAsia="Times New Roman" w:hAnsi="Calibri" w:cs="Calibri"/>
                <w:color w:val="000000"/>
              </w:rPr>
              <w:t>s</w:t>
            </w:r>
          </w:p>
          <w:p w14:paraId="18CE6EAF" w14:textId="092AB9AD" w:rsidR="00545D2F" w:rsidRPr="00545D2F" w:rsidRDefault="00545D2F" w:rsidP="002A5578">
            <w:pPr>
              <w:pStyle w:val="ListParagraph"/>
              <w:spacing w:after="0" w:line="240" w:lineRule="auto"/>
              <w:textAlignment w:val="baseline"/>
              <w:rPr>
                <w:rFonts w:ascii="Calibri" w:eastAsia="Times New Roman" w:hAnsi="Calibri" w:cs="Calibri"/>
                <w:color w:val="000000" w:themeColor="text1"/>
                <w:lang w:eastAsia="de-DE"/>
              </w:rPr>
            </w:pP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278F33C" w14:textId="77777777" w:rsidR="00880976" w:rsidRPr="0013741B" w:rsidRDefault="00880976" w:rsidP="007B299B">
            <w:pPr>
              <w:spacing w:after="0" w:line="240" w:lineRule="auto"/>
              <w:textAlignment w:val="baseline"/>
              <w:rPr>
                <w:rFonts w:ascii="Segoe UI" w:eastAsia="Times New Roman" w:hAnsi="Segoe UI" w:cs="Segoe UI"/>
                <w:sz w:val="18"/>
                <w:szCs w:val="18"/>
                <w:lang w:val="de-DE" w:eastAsia="de-DE"/>
              </w:rPr>
            </w:pPr>
            <w:r w:rsidRPr="0013741B">
              <w:rPr>
                <w:rFonts w:ascii="Calibri" w:eastAsia="Times New Roman" w:hAnsi="Calibri" w:cs="Calibri"/>
                <w:color w:val="000000"/>
                <w:lang w:eastAsia="de-DE"/>
              </w:rPr>
              <w:lastRenderedPageBreak/>
              <w:t>0-5 </w:t>
            </w:r>
            <w:r w:rsidRPr="0013741B">
              <w:rPr>
                <w:rFonts w:ascii="Calibri" w:eastAsia="Times New Roman" w:hAnsi="Calibri" w:cs="Calibri"/>
                <w:color w:val="000000"/>
                <w:lang w:val="de-DE" w:eastAsia="de-DE"/>
              </w:rPr>
              <w:t>  </w:t>
            </w:r>
          </w:p>
        </w:tc>
      </w:tr>
      <w:tr w:rsidR="008042F8" w:rsidRPr="0013741B" w14:paraId="23E34090" w14:textId="77777777" w:rsidTr="003309B8">
        <w:trPr>
          <w:trHeight w:val="885"/>
        </w:trPr>
        <w:tc>
          <w:tcPr>
            <w:tcW w:w="2415" w:type="dxa"/>
            <w:tcBorders>
              <w:top w:val="single" w:sz="6" w:space="0" w:color="auto"/>
              <w:left w:val="single" w:sz="6" w:space="0" w:color="auto"/>
              <w:bottom w:val="single" w:sz="6" w:space="0" w:color="auto"/>
              <w:right w:val="single" w:sz="6" w:space="0" w:color="auto"/>
            </w:tcBorders>
            <w:shd w:val="clear" w:color="auto" w:fill="auto"/>
          </w:tcPr>
          <w:p w14:paraId="68A9CA6D" w14:textId="780B5ABC" w:rsidR="008042F8" w:rsidRDefault="00243F00" w:rsidP="007B299B">
            <w:pPr>
              <w:spacing w:after="0" w:line="240" w:lineRule="auto"/>
              <w:textAlignment w:val="baseline"/>
              <w:rPr>
                <w:rFonts w:ascii="Calibri" w:eastAsia="Times New Roman" w:hAnsi="Calibri" w:cs="Calibri"/>
                <w:b/>
                <w:bCs/>
                <w:lang w:eastAsia="de-DE"/>
              </w:rPr>
            </w:pPr>
            <w:r>
              <w:rPr>
                <w:rFonts w:ascii="Calibri" w:eastAsia="Times New Roman" w:hAnsi="Calibri" w:cs="Calibri"/>
                <w:b/>
                <w:bCs/>
                <w:lang w:eastAsia="de-DE"/>
              </w:rPr>
              <w:t xml:space="preserve">Company’s </w:t>
            </w:r>
            <w:r w:rsidR="008042F8">
              <w:rPr>
                <w:rFonts w:ascii="Calibri" w:eastAsia="Times New Roman" w:hAnsi="Calibri" w:cs="Calibri"/>
                <w:b/>
                <w:bCs/>
                <w:lang w:eastAsia="de-DE"/>
              </w:rPr>
              <w:t>Financial Due Diligence</w:t>
            </w:r>
          </w:p>
          <w:p w14:paraId="124F1530" w14:textId="72C6C182" w:rsidR="00590D75" w:rsidRPr="008042F8" w:rsidRDefault="00590D75" w:rsidP="007B299B">
            <w:pPr>
              <w:spacing w:after="0" w:line="240" w:lineRule="auto"/>
              <w:textAlignment w:val="baseline"/>
              <w:rPr>
                <w:rFonts w:ascii="Calibri" w:eastAsia="Times New Roman" w:hAnsi="Calibri" w:cs="Calibri"/>
                <w:b/>
                <w:bCs/>
                <w:lang w:eastAsia="de-DE"/>
              </w:rPr>
            </w:pPr>
            <w:r>
              <w:rPr>
                <w:rFonts w:ascii="Calibri" w:eastAsia="Times New Roman" w:hAnsi="Calibri" w:cs="Calibri"/>
                <w:b/>
                <w:bCs/>
                <w:lang w:eastAsia="de-DE"/>
              </w:rPr>
              <w:t>20%</w:t>
            </w:r>
          </w:p>
        </w:tc>
        <w:tc>
          <w:tcPr>
            <w:tcW w:w="5805" w:type="dxa"/>
            <w:tcBorders>
              <w:top w:val="single" w:sz="6" w:space="0" w:color="auto"/>
              <w:left w:val="single" w:sz="6" w:space="0" w:color="auto"/>
              <w:bottom w:val="single" w:sz="6" w:space="0" w:color="auto"/>
              <w:right w:val="single" w:sz="6" w:space="0" w:color="auto"/>
            </w:tcBorders>
            <w:shd w:val="clear" w:color="auto" w:fill="auto"/>
          </w:tcPr>
          <w:p w14:paraId="6E2D61E2" w14:textId="0C53C3F6" w:rsidR="000450BB" w:rsidRPr="000450BB" w:rsidRDefault="003C7C84" w:rsidP="000450BB">
            <w:pPr>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 xml:space="preserve">Submitted documents demonstrate </w:t>
            </w:r>
            <w:r w:rsidR="000450BB" w:rsidRPr="000450BB">
              <w:rPr>
                <w:rFonts w:ascii="Calibri" w:eastAsia="Times New Roman" w:hAnsi="Calibri" w:cs="Calibri"/>
                <w:color w:val="000000"/>
              </w:rPr>
              <w:t xml:space="preserve">that the company aims to play in a large, growing, and profitable market, and/or that they are already playing in several markets </w:t>
            </w:r>
            <w:r w:rsidR="00141C9E">
              <w:rPr>
                <w:rFonts w:ascii="Calibri" w:eastAsia="Times New Roman" w:hAnsi="Calibri" w:cs="Calibri"/>
                <w:color w:val="000000"/>
                <w:lang w:val="en-GB"/>
              </w:rPr>
              <w:t xml:space="preserve">and </w:t>
            </w:r>
            <w:r w:rsidR="000450BB" w:rsidRPr="000450BB">
              <w:rPr>
                <w:rFonts w:ascii="Calibri" w:eastAsia="Times New Roman" w:hAnsi="Calibri" w:cs="Calibri"/>
                <w:color w:val="000000"/>
              </w:rPr>
              <w:t>are aiming to expand in the next 12-24 months</w:t>
            </w:r>
          </w:p>
          <w:p w14:paraId="5E110EB7" w14:textId="557D82C8" w:rsidR="000450BB" w:rsidRPr="000450BB" w:rsidRDefault="006F6211" w:rsidP="000450BB">
            <w:pPr>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 xml:space="preserve">Submitted documents verify </w:t>
            </w:r>
            <w:r w:rsidR="000450BB" w:rsidRPr="000450BB">
              <w:rPr>
                <w:rFonts w:ascii="Calibri" w:eastAsia="Times New Roman" w:hAnsi="Calibri" w:cs="Calibri"/>
                <w:color w:val="000000"/>
              </w:rPr>
              <w:t xml:space="preserve">that the company has </w:t>
            </w:r>
            <w:r w:rsidR="00BA1137">
              <w:rPr>
                <w:rFonts w:ascii="Calibri" w:eastAsia="Times New Roman" w:hAnsi="Calibri" w:cs="Calibri"/>
                <w:color w:val="000000"/>
                <w:lang w:val="en-GB"/>
              </w:rPr>
              <w:t xml:space="preserve">already </w:t>
            </w:r>
            <w:r w:rsidR="000450BB" w:rsidRPr="000450BB">
              <w:rPr>
                <w:rFonts w:ascii="Calibri" w:eastAsia="Times New Roman" w:hAnsi="Calibri" w:cs="Calibri"/>
                <w:color w:val="000000"/>
              </w:rPr>
              <w:t>started generating revenue</w:t>
            </w:r>
            <w:r>
              <w:rPr>
                <w:rFonts w:ascii="Calibri" w:eastAsia="Times New Roman" w:hAnsi="Calibri" w:cs="Calibri"/>
                <w:color w:val="000000"/>
                <w:lang w:val="en-GB"/>
              </w:rPr>
              <w:t>s</w:t>
            </w:r>
            <w:r w:rsidR="000450BB" w:rsidRPr="000450BB">
              <w:rPr>
                <w:rFonts w:ascii="Calibri" w:eastAsia="Times New Roman" w:hAnsi="Calibri" w:cs="Calibri"/>
                <w:color w:val="000000"/>
              </w:rPr>
              <w:t xml:space="preserve"> (</w:t>
            </w:r>
            <w:r w:rsidR="004B4CDA">
              <w:rPr>
                <w:rFonts w:ascii="Calibri" w:eastAsia="Times New Roman" w:hAnsi="Calibri" w:cs="Calibri"/>
                <w:color w:val="000000"/>
              </w:rPr>
              <w:t>target value</w:t>
            </w:r>
            <w:r w:rsidR="00BB3EF7">
              <w:rPr>
                <w:rFonts w:ascii="Calibri" w:eastAsia="Times New Roman" w:hAnsi="Calibri" w:cs="Calibri"/>
                <w:color w:val="000000"/>
              </w:rPr>
              <w:t xml:space="preserve"> above</w:t>
            </w:r>
            <w:r w:rsidR="004B4CDA">
              <w:rPr>
                <w:rFonts w:ascii="Calibri" w:eastAsia="Times New Roman" w:hAnsi="Calibri" w:cs="Calibri"/>
                <w:color w:val="000000"/>
              </w:rPr>
              <w:t xml:space="preserve"> </w:t>
            </w:r>
            <w:r w:rsidR="000450BB" w:rsidRPr="000450BB">
              <w:rPr>
                <w:rFonts w:ascii="Calibri" w:eastAsia="Times New Roman" w:hAnsi="Calibri" w:cs="Calibri"/>
                <w:color w:val="000000"/>
              </w:rPr>
              <w:t xml:space="preserve">100K euros) from </w:t>
            </w:r>
            <w:r>
              <w:rPr>
                <w:rFonts w:ascii="Calibri" w:eastAsia="Times New Roman" w:hAnsi="Calibri" w:cs="Calibri"/>
                <w:color w:val="000000"/>
                <w:lang w:val="en-GB"/>
              </w:rPr>
              <w:t xml:space="preserve">other </w:t>
            </w:r>
            <w:r w:rsidR="00EB6468">
              <w:rPr>
                <w:rFonts w:ascii="Calibri" w:eastAsia="Times New Roman" w:hAnsi="Calibri" w:cs="Calibri"/>
                <w:color w:val="000000"/>
                <w:lang w:val="en-GB"/>
              </w:rPr>
              <w:t xml:space="preserve">products and/or services </w:t>
            </w:r>
            <w:r w:rsidR="000450BB" w:rsidRPr="000450BB">
              <w:rPr>
                <w:rFonts w:ascii="Calibri" w:eastAsia="Times New Roman" w:hAnsi="Calibri" w:cs="Calibri"/>
                <w:color w:val="000000"/>
              </w:rPr>
              <w:t>through a defined go to market / customer acquisition strategy</w:t>
            </w:r>
          </w:p>
          <w:p w14:paraId="4F6E66CF" w14:textId="2C473B14" w:rsidR="000450BB" w:rsidRPr="000450BB" w:rsidRDefault="003C7C84" w:rsidP="000450BB">
            <w:pPr>
              <w:numPr>
                <w:ilvl w:val="0"/>
                <w:numId w:val="1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Submitted documents attest to t</w:t>
            </w:r>
            <w:r w:rsidR="000450BB" w:rsidRPr="000450BB">
              <w:rPr>
                <w:rFonts w:ascii="Calibri" w:eastAsia="Times New Roman" w:hAnsi="Calibri" w:cs="Calibri"/>
                <w:color w:val="000000"/>
              </w:rPr>
              <w:t xml:space="preserve">he adequacy of </w:t>
            </w:r>
            <w:r>
              <w:rPr>
                <w:rFonts w:ascii="Calibri" w:eastAsia="Times New Roman" w:hAnsi="Calibri" w:cs="Calibri"/>
                <w:color w:val="000000"/>
                <w:lang w:val="en-GB"/>
              </w:rPr>
              <w:t xml:space="preserve">the company’s </w:t>
            </w:r>
            <w:r w:rsidR="000450BB" w:rsidRPr="000450BB">
              <w:rPr>
                <w:rFonts w:ascii="Calibri" w:eastAsia="Times New Roman" w:hAnsi="Calibri" w:cs="Calibri"/>
                <w:color w:val="000000"/>
              </w:rPr>
              <w:t>financial resources to deliver on the business case. This will be assessed based on annual statements and forecasts</w:t>
            </w:r>
          </w:p>
          <w:p w14:paraId="7EEC829D" w14:textId="3FE694AD" w:rsidR="00352819" w:rsidRDefault="000450BB" w:rsidP="002A5578">
            <w:pPr>
              <w:numPr>
                <w:ilvl w:val="0"/>
                <w:numId w:val="15"/>
              </w:numPr>
              <w:spacing w:after="0" w:line="240" w:lineRule="auto"/>
              <w:textAlignment w:val="baseline"/>
              <w:rPr>
                <w:lang w:eastAsia="de-DE"/>
              </w:rPr>
            </w:pPr>
            <w:r w:rsidRPr="000450BB">
              <w:rPr>
                <w:rFonts w:ascii="Calibri" w:eastAsia="Times New Roman" w:hAnsi="Calibri" w:cs="Calibri"/>
                <w:color w:val="000000"/>
              </w:rPr>
              <w:t>The ramp up in the company’s expected annual revenues is realistic and substantiated by project milestones for market introduction and commercial scale-up</w:t>
            </w:r>
          </w:p>
        </w:tc>
        <w:tc>
          <w:tcPr>
            <w:tcW w:w="765" w:type="dxa"/>
            <w:tcBorders>
              <w:top w:val="single" w:sz="6" w:space="0" w:color="auto"/>
              <w:left w:val="single" w:sz="6" w:space="0" w:color="auto"/>
              <w:bottom w:val="single" w:sz="6" w:space="0" w:color="auto"/>
              <w:right w:val="single" w:sz="6" w:space="0" w:color="auto"/>
            </w:tcBorders>
            <w:shd w:val="clear" w:color="auto" w:fill="auto"/>
          </w:tcPr>
          <w:p w14:paraId="525BB95F" w14:textId="1BAEBDF7" w:rsidR="008042F8" w:rsidRPr="0013741B" w:rsidRDefault="009314C6" w:rsidP="007B299B">
            <w:pPr>
              <w:spacing w:after="0" w:line="240" w:lineRule="auto"/>
              <w:textAlignment w:val="baseline"/>
              <w:rPr>
                <w:rFonts w:ascii="Calibri" w:eastAsia="Times New Roman" w:hAnsi="Calibri" w:cs="Calibri"/>
                <w:color w:val="000000"/>
                <w:lang w:eastAsia="de-DE"/>
              </w:rPr>
            </w:pPr>
            <w:r>
              <w:rPr>
                <w:rFonts w:ascii="Calibri" w:eastAsia="Times New Roman" w:hAnsi="Calibri" w:cs="Calibri"/>
                <w:color w:val="000000"/>
                <w:lang w:eastAsia="de-DE"/>
              </w:rPr>
              <w:t>0-5</w:t>
            </w:r>
          </w:p>
        </w:tc>
      </w:tr>
      <w:tr w:rsidR="00880976" w:rsidRPr="0013741B" w14:paraId="0CA5B7DE" w14:textId="77777777" w:rsidTr="007B299B">
        <w:trPr>
          <w:trHeight w:val="300"/>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797BC376" w14:textId="60ADF5BD" w:rsidR="00880976" w:rsidRPr="004A10A3" w:rsidRDefault="00FB4636" w:rsidP="007B299B">
            <w:pPr>
              <w:spacing w:after="0" w:line="240" w:lineRule="auto"/>
              <w:textAlignment w:val="baseline"/>
              <w:rPr>
                <w:rFonts w:ascii="Segoe UI" w:eastAsia="Times New Roman" w:hAnsi="Segoe UI" w:cs="Segoe UI"/>
                <w:sz w:val="18"/>
                <w:szCs w:val="18"/>
                <w:lang w:eastAsia="de-DE"/>
              </w:rPr>
            </w:pPr>
            <w:r w:rsidRPr="004A10A3">
              <w:rPr>
                <w:rFonts w:ascii="Calibri" w:eastAsia="Times New Roman" w:hAnsi="Calibri" w:cs="Calibri"/>
                <w:b/>
                <w:bCs/>
                <w:lang w:eastAsia="de-DE"/>
              </w:rPr>
              <w:t>Implementation</w:t>
            </w:r>
            <w:r w:rsidR="00770E5A">
              <w:rPr>
                <w:rFonts w:ascii="Calibri" w:eastAsia="Times New Roman" w:hAnsi="Calibri" w:cs="Calibri"/>
                <w:b/>
                <w:bCs/>
                <w:lang w:eastAsia="de-DE"/>
              </w:rPr>
              <w:t xml:space="preserve"> and</w:t>
            </w:r>
            <w:r w:rsidR="006136B6">
              <w:rPr>
                <w:rFonts w:ascii="Calibri" w:eastAsia="Times New Roman" w:hAnsi="Calibri" w:cs="Calibri"/>
                <w:b/>
                <w:bCs/>
                <w:lang w:eastAsia="de-DE"/>
              </w:rPr>
              <w:t xml:space="preserve"> Feasibility</w:t>
            </w:r>
            <w:r w:rsidR="00880976" w:rsidRPr="004A10A3">
              <w:rPr>
                <w:rFonts w:ascii="Calibri" w:eastAsia="Times New Roman" w:hAnsi="Calibri" w:cs="Calibri"/>
                <w:lang w:eastAsia="de-DE"/>
              </w:rPr>
              <w:t>  </w:t>
            </w:r>
          </w:p>
          <w:p w14:paraId="1C067EA7"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r w:rsidRPr="004A10A3">
              <w:rPr>
                <w:rFonts w:ascii="Calibri" w:eastAsia="Times New Roman" w:hAnsi="Calibri" w:cs="Calibri"/>
                <w:lang w:eastAsia="de-DE"/>
              </w:rPr>
              <w:t> </w:t>
            </w:r>
            <w:r w:rsidRPr="004A10A3">
              <w:rPr>
                <w:rFonts w:ascii="Calibri" w:eastAsia="Times New Roman" w:hAnsi="Calibri" w:cs="Calibri"/>
                <w:lang w:val="de-DE" w:eastAsia="de-DE"/>
              </w:rPr>
              <w:t> </w:t>
            </w:r>
          </w:p>
          <w:p w14:paraId="40359F04" w14:textId="77777777" w:rsidR="00880976" w:rsidRPr="004A10A3" w:rsidRDefault="00880976" w:rsidP="007B299B">
            <w:pPr>
              <w:spacing w:after="0" w:line="240" w:lineRule="auto"/>
              <w:textAlignment w:val="baseline"/>
              <w:rPr>
                <w:rFonts w:ascii="Segoe UI" w:eastAsia="Times New Roman" w:hAnsi="Segoe UI" w:cs="Segoe UI"/>
                <w:sz w:val="18"/>
                <w:szCs w:val="18"/>
                <w:lang w:val="de-DE" w:eastAsia="de-DE"/>
              </w:rPr>
            </w:pPr>
            <w:r w:rsidRPr="004A10A3">
              <w:rPr>
                <w:rFonts w:ascii="Calibri" w:eastAsia="Times New Roman" w:hAnsi="Calibri" w:cs="Calibri"/>
                <w:b/>
                <w:bCs/>
                <w:lang w:eastAsia="de-DE"/>
              </w:rPr>
              <w:t>20%</w:t>
            </w:r>
            <w:r w:rsidRPr="004A10A3">
              <w:rPr>
                <w:rFonts w:ascii="Calibri" w:eastAsia="Times New Roman" w:hAnsi="Calibri" w:cs="Calibri"/>
                <w:lang w:val="de-DE" w:eastAsia="de-DE"/>
              </w:rPr>
              <w:t>  </w:t>
            </w:r>
          </w:p>
        </w:tc>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310F2235" w14:textId="34E4D36A" w:rsidR="00E73330" w:rsidRPr="00E73330" w:rsidRDefault="00E73330" w:rsidP="00E73330">
            <w:pPr>
              <w:numPr>
                <w:ilvl w:val="0"/>
                <w:numId w:val="16"/>
              </w:numPr>
              <w:spacing w:after="0" w:line="240" w:lineRule="auto"/>
              <w:textAlignment w:val="baseline"/>
              <w:rPr>
                <w:rFonts w:ascii="Calibri" w:eastAsia="Times New Roman" w:hAnsi="Calibri" w:cs="Calibri"/>
                <w:color w:val="000000"/>
              </w:rPr>
            </w:pPr>
            <w:r w:rsidRPr="00E73330">
              <w:rPr>
                <w:rFonts w:ascii="Calibri" w:eastAsia="Times New Roman" w:hAnsi="Calibri" w:cs="Calibri"/>
                <w:color w:val="000000"/>
              </w:rPr>
              <w:t xml:space="preserve">Evidence that the broader team is ready and qualified to </w:t>
            </w:r>
            <w:r w:rsidR="0068419C">
              <w:rPr>
                <w:rFonts w:ascii="Calibri" w:eastAsia="Times New Roman" w:hAnsi="Calibri" w:cs="Calibri"/>
                <w:color w:val="000000"/>
                <w:lang w:val="en-GB"/>
              </w:rPr>
              <w:t xml:space="preserve">establish and/or </w:t>
            </w:r>
            <w:r w:rsidR="00A374D7">
              <w:rPr>
                <w:rFonts w:ascii="Calibri" w:eastAsia="Times New Roman" w:hAnsi="Calibri" w:cs="Calibri"/>
                <w:color w:val="000000"/>
                <w:lang w:val="en-GB"/>
              </w:rPr>
              <w:t xml:space="preserve">continue developing a </w:t>
            </w:r>
            <w:r w:rsidRPr="00E73330">
              <w:rPr>
                <w:rFonts w:ascii="Calibri" w:eastAsia="Times New Roman" w:hAnsi="Calibri" w:cs="Calibri"/>
                <w:color w:val="000000"/>
              </w:rPr>
              <w:t>commercially oriented organisation</w:t>
            </w:r>
            <w:r w:rsidR="00745D3E">
              <w:rPr>
                <w:rFonts w:ascii="Calibri" w:eastAsia="Times New Roman" w:hAnsi="Calibri" w:cs="Calibri"/>
                <w:color w:val="000000"/>
                <w:lang w:val="en-GB"/>
              </w:rPr>
              <w:t xml:space="preserve"> via activities including but not limited to </w:t>
            </w:r>
            <w:r w:rsidRPr="00E73330">
              <w:rPr>
                <w:rFonts w:ascii="Calibri" w:eastAsia="Times New Roman" w:hAnsi="Calibri" w:cs="Calibri"/>
                <w:color w:val="000000"/>
              </w:rPr>
              <w:t>sales, marketing, customer acquisition, business development, operations</w:t>
            </w:r>
            <w:r w:rsidR="00745D3E">
              <w:rPr>
                <w:rFonts w:ascii="Calibri" w:eastAsia="Times New Roman" w:hAnsi="Calibri" w:cs="Calibri"/>
                <w:color w:val="000000"/>
                <w:lang w:val="en-GB"/>
              </w:rPr>
              <w:t>, etc.</w:t>
            </w:r>
          </w:p>
          <w:p w14:paraId="2CA01848" w14:textId="0ECB9E72" w:rsidR="00E73330" w:rsidRPr="00E73330" w:rsidRDefault="00E73330" w:rsidP="00E73330">
            <w:pPr>
              <w:numPr>
                <w:ilvl w:val="0"/>
                <w:numId w:val="16"/>
              </w:numPr>
              <w:spacing w:after="0" w:line="240" w:lineRule="auto"/>
              <w:textAlignment w:val="baseline"/>
              <w:rPr>
                <w:rFonts w:ascii="Calibri" w:eastAsia="Times New Roman" w:hAnsi="Calibri" w:cs="Calibri"/>
                <w:color w:val="000000"/>
              </w:rPr>
            </w:pPr>
            <w:r w:rsidRPr="00E73330">
              <w:rPr>
                <w:rFonts w:ascii="Calibri" w:eastAsia="Times New Roman" w:hAnsi="Calibri" w:cs="Calibri"/>
                <w:color w:val="000000"/>
              </w:rPr>
              <w:t xml:space="preserve">Evidence that the founding team has the potential and skillset to lead the company towards successful scale up (e.g., </w:t>
            </w:r>
            <w:r w:rsidR="004D3164" w:rsidRPr="00E73330">
              <w:rPr>
                <w:rFonts w:ascii="Calibri" w:eastAsia="Times New Roman" w:hAnsi="Calibri" w:cs="Calibri"/>
                <w:color w:val="000000"/>
              </w:rPr>
              <w:t>agri-food</w:t>
            </w:r>
            <w:r w:rsidRPr="00E73330">
              <w:rPr>
                <w:rFonts w:ascii="Calibri" w:eastAsia="Times New Roman" w:hAnsi="Calibri" w:cs="Calibri"/>
                <w:color w:val="000000"/>
              </w:rPr>
              <w:t xml:space="preserve"> expertise, entrepreneurial and management skills, </w:t>
            </w:r>
            <w:r w:rsidR="00745D3E">
              <w:rPr>
                <w:rFonts w:ascii="Calibri" w:eastAsia="Times New Roman" w:hAnsi="Calibri" w:cs="Calibri"/>
                <w:color w:val="000000"/>
                <w:lang w:val="en-GB"/>
              </w:rPr>
              <w:t xml:space="preserve">business development experience, </w:t>
            </w:r>
            <w:r w:rsidRPr="00E73330">
              <w:rPr>
                <w:rFonts w:ascii="Calibri" w:eastAsia="Times New Roman" w:hAnsi="Calibri" w:cs="Calibri"/>
                <w:color w:val="000000"/>
              </w:rPr>
              <w:t>etc.)</w:t>
            </w:r>
          </w:p>
          <w:p w14:paraId="14D05182" w14:textId="4EDDFD68" w:rsidR="00E73330" w:rsidRPr="00E73330" w:rsidRDefault="00745D3E" w:rsidP="00E73330">
            <w:pPr>
              <w:numPr>
                <w:ilvl w:val="0"/>
                <w:numId w:val="1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 xml:space="preserve">The submitted </w:t>
            </w:r>
            <w:r w:rsidR="00191D74">
              <w:rPr>
                <w:rFonts w:ascii="Calibri" w:eastAsia="Times New Roman" w:hAnsi="Calibri" w:cs="Calibri"/>
                <w:color w:val="000000"/>
                <w:lang w:val="en-GB"/>
              </w:rPr>
              <w:t xml:space="preserve">project plan is clear and convincing in demonstrating achievable commercialisation </w:t>
            </w:r>
            <w:r w:rsidR="003A4DAC">
              <w:rPr>
                <w:rFonts w:ascii="Calibri" w:eastAsia="Times New Roman" w:hAnsi="Calibri" w:cs="Calibri"/>
                <w:color w:val="000000"/>
                <w:lang w:val="en-GB"/>
              </w:rPr>
              <w:t>milestones</w:t>
            </w:r>
          </w:p>
          <w:p w14:paraId="16D3A96B" w14:textId="5272363D" w:rsidR="00E73330" w:rsidRPr="00E73330" w:rsidRDefault="009B298C" w:rsidP="00E73330">
            <w:pPr>
              <w:numPr>
                <w:ilvl w:val="0"/>
                <w:numId w:val="16"/>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lang w:val="en-GB"/>
              </w:rPr>
              <w:t>Submitted risk register is thorough</w:t>
            </w:r>
            <w:r w:rsidR="00E73330" w:rsidRPr="00E73330">
              <w:rPr>
                <w:rFonts w:ascii="Calibri" w:eastAsia="Times New Roman" w:hAnsi="Calibri" w:cs="Calibri"/>
                <w:color w:val="000000"/>
              </w:rPr>
              <w:t xml:space="preserve"> and comprehensive</w:t>
            </w:r>
            <w:r>
              <w:rPr>
                <w:rFonts w:ascii="Calibri" w:eastAsia="Times New Roman" w:hAnsi="Calibri" w:cs="Calibri"/>
                <w:color w:val="000000"/>
                <w:lang w:val="en-GB"/>
              </w:rPr>
              <w:t xml:space="preserve">, </w:t>
            </w:r>
            <w:r w:rsidR="00F41865">
              <w:rPr>
                <w:rFonts w:ascii="Calibri" w:eastAsia="Times New Roman" w:hAnsi="Calibri" w:cs="Calibri"/>
                <w:color w:val="000000"/>
                <w:lang w:val="en-GB"/>
              </w:rPr>
              <w:t xml:space="preserve">and includes </w:t>
            </w:r>
            <w:r>
              <w:rPr>
                <w:rFonts w:ascii="Calibri" w:eastAsia="Times New Roman" w:hAnsi="Calibri" w:cs="Calibri"/>
                <w:color w:val="000000"/>
                <w:lang w:val="en-GB"/>
              </w:rPr>
              <w:t xml:space="preserve">a </w:t>
            </w:r>
            <w:r w:rsidR="00E73330" w:rsidRPr="00E73330">
              <w:rPr>
                <w:rFonts w:ascii="Calibri" w:eastAsia="Times New Roman" w:hAnsi="Calibri" w:cs="Calibri"/>
                <w:color w:val="000000"/>
              </w:rPr>
              <w:t>corresponding mitigation plan</w:t>
            </w:r>
          </w:p>
          <w:p w14:paraId="642227D4" w14:textId="100502E2" w:rsidR="00B77085" w:rsidRPr="00052802" w:rsidRDefault="00B77085" w:rsidP="002A5578">
            <w:pPr>
              <w:pStyle w:val="ListParagraph"/>
              <w:spacing w:after="0" w:line="240" w:lineRule="auto"/>
              <w:textAlignment w:val="baseline"/>
              <w:rPr>
                <w:rFonts w:eastAsia="Times New Roman" w:cstheme="minorHAnsi"/>
                <w:lang w:eastAsia="de-DE"/>
              </w:rPr>
            </w:pP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0D5EE5E2" w14:textId="77777777" w:rsidR="00880976" w:rsidRPr="0013741B" w:rsidRDefault="00880976" w:rsidP="007B299B">
            <w:pPr>
              <w:spacing w:after="0" w:line="240" w:lineRule="auto"/>
              <w:textAlignment w:val="baseline"/>
              <w:rPr>
                <w:rFonts w:ascii="Segoe UI" w:eastAsia="Times New Roman" w:hAnsi="Segoe UI" w:cs="Segoe UI"/>
                <w:sz w:val="18"/>
                <w:szCs w:val="18"/>
                <w:lang w:val="de-DE" w:eastAsia="de-DE"/>
              </w:rPr>
            </w:pPr>
            <w:r w:rsidRPr="0013741B">
              <w:rPr>
                <w:rFonts w:ascii="Calibri" w:eastAsia="Times New Roman" w:hAnsi="Calibri" w:cs="Calibri"/>
                <w:color w:val="000000"/>
                <w:lang w:eastAsia="de-DE"/>
              </w:rPr>
              <w:t>0-5</w:t>
            </w:r>
            <w:r w:rsidRPr="0013741B">
              <w:rPr>
                <w:rFonts w:ascii="Calibri" w:eastAsia="Times New Roman" w:hAnsi="Calibri" w:cs="Calibri"/>
                <w:color w:val="000000"/>
                <w:lang w:val="de-DE" w:eastAsia="de-DE"/>
              </w:rPr>
              <w:t>  </w:t>
            </w:r>
          </w:p>
        </w:tc>
      </w:tr>
    </w:tbl>
    <w:p w14:paraId="4C8B6BEE" w14:textId="77777777" w:rsidR="00880976" w:rsidRPr="00AF6EBF" w:rsidRDefault="00880976" w:rsidP="00880976">
      <w:pPr>
        <w:spacing w:after="0" w:line="240" w:lineRule="auto"/>
        <w:jc w:val="both"/>
        <w:rPr>
          <w:rFonts w:ascii="Segoe UI" w:eastAsia="Times New Roman" w:hAnsi="Segoe UI" w:cs="Segoe UI"/>
          <w:color w:val="000000" w:themeColor="text1"/>
          <w:sz w:val="18"/>
          <w:szCs w:val="18"/>
        </w:rPr>
      </w:pPr>
    </w:p>
    <w:p w14:paraId="1BB870B7" w14:textId="77777777" w:rsidR="00880976" w:rsidRPr="001530FA" w:rsidRDefault="00880976" w:rsidP="00880976">
      <w:pPr>
        <w:spacing w:line="257" w:lineRule="auto"/>
      </w:pPr>
      <w:r>
        <w:t xml:space="preserve">Each evaluation sub-criterion will be scored from 1 to 5 using the following scoring system.  </w:t>
      </w:r>
    </w:p>
    <w:p w14:paraId="0DC8DB80" w14:textId="77777777" w:rsidR="00880976" w:rsidRPr="00880976" w:rsidRDefault="00880976" w:rsidP="00880976">
      <w:pPr>
        <w:spacing w:line="257" w:lineRule="auto"/>
        <w:rPr>
          <w:b/>
          <w:bCs/>
        </w:rPr>
      </w:pPr>
      <w:r w:rsidRPr="00880976">
        <w:rPr>
          <w:b/>
          <w:bCs/>
        </w:rPr>
        <w:t>The quality threshold for selection is a total score of 3.5.</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2265"/>
        <w:gridCol w:w="5190"/>
      </w:tblGrid>
      <w:tr w:rsidR="00880976" w:rsidRPr="00BB48E8" w14:paraId="1AD6176A"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D9967C2" w14:textId="77777777" w:rsidR="00880976" w:rsidRPr="00BB48E8" w:rsidRDefault="00880976" w:rsidP="007B299B">
            <w:pPr>
              <w:rPr>
                <w:rFonts w:ascii="Segoe UI" w:hAnsi="Segoe UI" w:cs="Segoe UI"/>
                <w:sz w:val="18"/>
                <w:szCs w:val="18"/>
                <w:lang w:eastAsia="en-GB"/>
              </w:rPr>
            </w:pPr>
            <w:r w:rsidRPr="00BB48E8">
              <w:rPr>
                <w:lang w:eastAsia="en-GB"/>
              </w:rPr>
              <w:t>Score </w:t>
            </w:r>
          </w:p>
        </w:tc>
        <w:tc>
          <w:tcPr>
            <w:tcW w:w="2265"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12E6867" w14:textId="77777777" w:rsidR="00880976" w:rsidRPr="00BB48E8" w:rsidRDefault="00880976" w:rsidP="007B299B">
            <w:pPr>
              <w:rPr>
                <w:rFonts w:ascii="Segoe UI" w:hAnsi="Segoe UI" w:cs="Segoe UI"/>
                <w:sz w:val="18"/>
                <w:szCs w:val="18"/>
                <w:lang w:eastAsia="en-GB"/>
              </w:rPr>
            </w:pPr>
            <w:r w:rsidRPr="00BB48E8">
              <w:rPr>
                <w:lang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C67F2AF" w14:textId="77777777" w:rsidR="00880976" w:rsidRPr="00BB48E8" w:rsidRDefault="00880976" w:rsidP="007B299B">
            <w:pPr>
              <w:rPr>
                <w:rFonts w:ascii="Segoe UI" w:hAnsi="Segoe UI" w:cs="Segoe UI"/>
                <w:sz w:val="18"/>
                <w:szCs w:val="18"/>
                <w:lang w:eastAsia="en-GB"/>
              </w:rPr>
            </w:pPr>
            <w:r w:rsidRPr="00BB48E8">
              <w:rPr>
                <w:color w:val="000000"/>
                <w:lang w:eastAsia="en-GB"/>
              </w:rPr>
              <w:t>Description  </w:t>
            </w:r>
          </w:p>
        </w:tc>
      </w:tr>
      <w:tr w:rsidR="00880976" w:rsidRPr="00BB48E8" w14:paraId="7041C547"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24D104E" w14:textId="77777777" w:rsidR="00880976" w:rsidRPr="00367082" w:rsidRDefault="00880976" w:rsidP="007B299B">
            <w:pPr>
              <w:rPr>
                <w:rFonts w:cstheme="minorHAnsi"/>
                <w:sz w:val="18"/>
                <w:szCs w:val="18"/>
                <w:lang w:eastAsia="en-GB"/>
              </w:rPr>
            </w:pPr>
            <w:r w:rsidRPr="00367082">
              <w:rPr>
                <w:rFonts w:cstheme="minorHAnsi"/>
                <w:lang w:eastAsia="en-GB"/>
              </w:rPr>
              <w:t>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1774F2A" w14:textId="77777777" w:rsidR="00880976" w:rsidRPr="00367082" w:rsidRDefault="00880976" w:rsidP="007B299B">
            <w:pPr>
              <w:rPr>
                <w:rFonts w:cstheme="minorHAnsi"/>
                <w:sz w:val="18"/>
                <w:szCs w:val="18"/>
                <w:lang w:eastAsia="en-GB"/>
              </w:rPr>
            </w:pPr>
            <w:r w:rsidRPr="00367082">
              <w:rPr>
                <w:rFonts w:cstheme="minorHAnsi"/>
                <w:lang w:eastAsia="en-GB"/>
              </w:rPr>
              <w:t>Not addressed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924B507" w14:textId="77777777" w:rsidR="00880976" w:rsidRPr="00367082" w:rsidRDefault="00880976" w:rsidP="007B299B">
            <w:pPr>
              <w:rPr>
                <w:rFonts w:cstheme="minorHAnsi"/>
                <w:sz w:val="18"/>
                <w:szCs w:val="18"/>
                <w:lang w:eastAsia="en-GB"/>
              </w:rPr>
            </w:pPr>
            <w:r w:rsidRPr="00367082">
              <w:rPr>
                <w:rFonts w:cstheme="minorHAnsi"/>
                <w:color w:val="000000"/>
                <w:lang w:eastAsia="en-GB"/>
              </w:rPr>
              <w:t>Not addressed   </w:t>
            </w:r>
          </w:p>
        </w:tc>
      </w:tr>
      <w:tr w:rsidR="00880976" w:rsidRPr="00BB48E8" w14:paraId="275ED2BE"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63A2423" w14:textId="77777777" w:rsidR="00880976" w:rsidRPr="00367082" w:rsidRDefault="00880976" w:rsidP="007B299B">
            <w:pPr>
              <w:rPr>
                <w:rFonts w:cstheme="minorHAnsi"/>
                <w:sz w:val="18"/>
                <w:szCs w:val="18"/>
                <w:lang w:eastAsia="en-GB"/>
              </w:rPr>
            </w:pPr>
            <w:r w:rsidRPr="00367082">
              <w:rPr>
                <w:rFonts w:cstheme="minorHAnsi"/>
                <w:lang w:eastAsia="en-GB"/>
              </w:rPr>
              <w:t>1 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F89298F" w14:textId="77777777" w:rsidR="00880976" w:rsidRPr="00367082" w:rsidRDefault="00880976" w:rsidP="007B299B">
            <w:pPr>
              <w:rPr>
                <w:rFonts w:cstheme="minorHAnsi"/>
                <w:sz w:val="18"/>
                <w:szCs w:val="18"/>
                <w:lang w:eastAsia="en-GB"/>
              </w:rPr>
            </w:pPr>
            <w:r w:rsidRPr="00367082">
              <w:rPr>
                <w:rFonts w:cstheme="minorHAnsi"/>
                <w:lang w:eastAsia="en-GB"/>
              </w:rPr>
              <w:t>Poor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6C0C1A6E" w14:textId="77777777" w:rsidR="00880976" w:rsidRPr="00367082" w:rsidRDefault="00880976" w:rsidP="007B299B">
            <w:pPr>
              <w:rPr>
                <w:rFonts w:cstheme="minorHAnsi"/>
                <w:sz w:val="18"/>
                <w:szCs w:val="18"/>
                <w:lang w:eastAsia="en-GB"/>
              </w:rPr>
            </w:pPr>
            <w:r w:rsidRPr="00367082">
              <w:rPr>
                <w:rFonts w:cstheme="minorHAnsi"/>
                <w:color w:val="000000"/>
                <w:lang w:eastAsia="en-GB"/>
              </w:rPr>
              <w:t>The criterion is inadequately addressed, or there are serious inherent weaknesses   </w:t>
            </w:r>
          </w:p>
        </w:tc>
      </w:tr>
      <w:tr w:rsidR="00880976" w:rsidRPr="00BB48E8" w14:paraId="4A400C23"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BC78256" w14:textId="77777777" w:rsidR="00880976" w:rsidRPr="00367082" w:rsidRDefault="00880976" w:rsidP="007B299B">
            <w:pPr>
              <w:rPr>
                <w:rFonts w:cstheme="minorHAnsi"/>
                <w:sz w:val="18"/>
                <w:szCs w:val="18"/>
                <w:lang w:eastAsia="en-GB"/>
              </w:rPr>
            </w:pPr>
            <w:r w:rsidRPr="00367082">
              <w:rPr>
                <w:rFonts w:cstheme="minorHAnsi"/>
                <w:lang w:eastAsia="en-GB"/>
              </w:rPr>
              <w:lastRenderedPageBreak/>
              <w:t>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FE009BD" w14:textId="77777777" w:rsidR="00880976" w:rsidRPr="00367082" w:rsidRDefault="00880976" w:rsidP="007B299B">
            <w:pPr>
              <w:rPr>
                <w:rFonts w:cstheme="minorHAnsi"/>
                <w:sz w:val="18"/>
                <w:szCs w:val="18"/>
                <w:lang w:eastAsia="en-GB"/>
              </w:rPr>
            </w:pPr>
            <w:r w:rsidRPr="00367082">
              <w:rPr>
                <w:rFonts w:cstheme="minorHAnsi"/>
                <w:lang w:eastAsia="en-GB"/>
              </w:rPr>
              <w:t>Fair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0E27219" w14:textId="77777777" w:rsidR="00880976" w:rsidRPr="00367082" w:rsidRDefault="00880976" w:rsidP="007B299B">
            <w:pPr>
              <w:rPr>
                <w:rFonts w:cstheme="minorHAnsi"/>
                <w:sz w:val="18"/>
                <w:szCs w:val="18"/>
                <w:lang w:eastAsia="en-GB"/>
              </w:rPr>
            </w:pPr>
            <w:r>
              <w:rPr>
                <w:rFonts w:cstheme="minorHAnsi"/>
                <w:color w:val="000000"/>
                <w:lang w:eastAsia="en-GB"/>
              </w:rPr>
              <w:t xml:space="preserve">Application </w:t>
            </w:r>
            <w:r w:rsidRPr="00367082">
              <w:rPr>
                <w:rFonts w:cstheme="minorHAnsi"/>
                <w:color w:val="000000"/>
                <w:lang w:eastAsia="en-GB"/>
              </w:rPr>
              <w:t>broadly addresses the criterion but there are significant weaknesses   </w:t>
            </w:r>
          </w:p>
        </w:tc>
      </w:tr>
      <w:tr w:rsidR="00880976" w:rsidRPr="00BB48E8" w14:paraId="228B1FC2"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61E7981" w14:textId="77777777" w:rsidR="00880976" w:rsidRPr="00367082" w:rsidRDefault="00880976" w:rsidP="007B299B">
            <w:pPr>
              <w:rPr>
                <w:rFonts w:cstheme="minorHAnsi"/>
                <w:sz w:val="18"/>
                <w:szCs w:val="18"/>
                <w:lang w:eastAsia="en-GB"/>
              </w:rPr>
            </w:pPr>
            <w:r w:rsidRPr="00367082">
              <w:rPr>
                <w:rFonts w:cstheme="minorHAnsi"/>
                <w:lang w:eastAsia="en-GB"/>
              </w:rPr>
              <w:t>3 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A27F4B9" w14:textId="77777777" w:rsidR="00880976" w:rsidRPr="00367082" w:rsidRDefault="00880976" w:rsidP="007B299B">
            <w:pPr>
              <w:rPr>
                <w:rFonts w:cstheme="minorHAnsi"/>
                <w:sz w:val="18"/>
                <w:szCs w:val="18"/>
                <w:lang w:eastAsia="en-GB"/>
              </w:rPr>
            </w:pPr>
            <w:r w:rsidRPr="00367082">
              <w:rPr>
                <w:rFonts w:cstheme="minorHAnsi"/>
                <w:lang w:eastAsia="en-GB"/>
              </w:rPr>
              <w:t>Good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9E43326" w14:textId="77777777" w:rsidR="00880976" w:rsidRPr="00367082" w:rsidRDefault="00880976" w:rsidP="007B299B">
            <w:pPr>
              <w:rPr>
                <w:sz w:val="18"/>
                <w:szCs w:val="18"/>
                <w:lang w:eastAsia="en-GB"/>
              </w:rPr>
            </w:pPr>
            <w:r>
              <w:rPr>
                <w:rFonts w:cstheme="minorHAnsi"/>
                <w:color w:val="000000"/>
                <w:lang w:eastAsia="en-GB"/>
              </w:rPr>
              <w:t xml:space="preserve">Application </w:t>
            </w:r>
            <w:r w:rsidRPr="63D05940">
              <w:rPr>
                <w:color w:val="000000" w:themeColor="text1"/>
                <w:lang w:eastAsia="en-GB"/>
              </w:rPr>
              <w:t xml:space="preserve">addresses the criterion well, but </w:t>
            </w:r>
            <w:proofErr w:type="gramStart"/>
            <w:r w:rsidRPr="63D05940">
              <w:rPr>
                <w:color w:val="000000" w:themeColor="text1"/>
                <w:lang w:eastAsia="en-GB"/>
              </w:rPr>
              <w:t>a number of</w:t>
            </w:r>
            <w:proofErr w:type="gramEnd"/>
            <w:r w:rsidRPr="63D05940">
              <w:rPr>
                <w:color w:val="000000" w:themeColor="text1"/>
                <w:lang w:eastAsia="en-GB"/>
              </w:rPr>
              <w:t xml:space="preserve"> shortcomings are present   </w:t>
            </w:r>
          </w:p>
        </w:tc>
      </w:tr>
      <w:tr w:rsidR="00880976" w:rsidRPr="00BB48E8" w14:paraId="6F7223FA"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E4E1EFB" w14:textId="77777777" w:rsidR="00880976" w:rsidRPr="00367082" w:rsidRDefault="00880976" w:rsidP="007B299B">
            <w:pPr>
              <w:rPr>
                <w:rFonts w:cstheme="minorHAnsi"/>
                <w:sz w:val="18"/>
                <w:szCs w:val="18"/>
                <w:lang w:eastAsia="en-GB"/>
              </w:rPr>
            </w:pPr>
            <w:r w:rsidRPr="00367082">
              <w:rPr>
                <w:rFonts w:cstheme="minorHAnsi"/>
                <w:lang w:eastAsia="en-GB"/>
              </w:rPr>
              <w:t>4 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607644B" w14:textId="77777777" w:rsidR="00880976" w:rsidRPr="00367082" w:rsidRDefault="00880976" w:rsidP="007B299B">
            <w:pPr>
              <w:rPr>
                <w:rFonts w:cstheme="minorHAnsi"/>
                <w:sz w:val="18"/>
                <w:szCs w:val="18"/>
                <w:lang w:eastAsia="en-GB"/>
              </w:rPr>
            </w:pPr>
            <w:r w:rsidRPr="00367082">
              <w:rPr>
                <w:rFonts w:cstheme="minorHAnsi"/>
                <w:lang w:eastAsia="en-GB"/>
              </w:rPr>
              <w:t>Very good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049F5450" w14:textId="77777777" w:rsidR="00880976" w:rsidRPr="00367082" w:rsidRDefault="00880976" w:rsidP="007B299B">
            <w:pPr>
              <w:rPr>
                <w:rFonts w:cstheme="minorHAnsi"/>
                <w:sz w:val="18"/>
                <w:szCs w:val="18"/>
                <w:lang w:eastAsia="en-GB"/>
              </w:rPr>
            </w:pPr>
            <w:r>
              <w:rPr>
                <w:rFonts w:cstheme="minorHAnsi"/>
                <w:color w:val="000000"/>
                <w:lang w:eastAsia="en-GB"/>
              </w:rPr>
              <w:t xml:space="preserve">Application </w:t>
            </w:r>
            <w:r w:rsidRPr="00367082">
              <w:rPr>
                <w:rFonts w:cstheme="minorHAnsi"/>
                <w:color w:val="000000"/>
                <w:lang w:eastAsia="en-GB"/>
              </w:rPr>
              <w:t>addresses the criterion very well, but a small number of shortcomings are present   </w:t>
            </w:r>
          </w:p>
        </w:tc>
      </w:tr>
      <w:tr w:rsidR="00880976" w:rsidRPr="00BB48E8" w14:paraId="0B6136B5" w14:textId="77777777" w:rsidTr="007B299B">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8DB2064" w14:textId="77777777" w:rsidR="00880976" w:rsidRPr="00367082" w:rsidRDefault="00880976" w:rsidP="007B299B">
            <w:pPr>
              <w:rPr>
                <w:rFonts w:cstheme="minorHAnsi"/>
                <w:sz w:val="18"/>
                <w:szCs w:val="18"/>
                <w:lang w:eastAsia="en-GB"/>
              </w:rPr>
            </w:pPr>
            <w:r w:rsidRPr="00367082">
              <w:rPr>
                <w:rFonts w:cstheme="minorHAnsi"/>
                <w:lang w:eastAsia="en-GB"/>
              </w:rPr>
              <w:t>5 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9764576" w14:textId="77777777" w:rsidR="00880976" w:rsidRPr="00367082" w:rsidRDefault="00880976" w:rsidP="007B299B">
            <w:pPr>
              <w:rPr>
                <w:rFonts w:cstheme="minorHAnsi"/>
                <w:sz w:val="18"/>
                <w:szCs w:val="18"/>
                <w:lang w:eastAsia="en-GB"/>
              </w:rPr>
            </w:pPr>
            <w:r w:rsidRPr="00367082">
              <w:rPr>
                <w:rFonts w:cstheme="minorHAnsi"/>
                <w:lang w:eastAsia="en-GB"/>
              </w:rPr>
              <w:t>Excellent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2953B55B" w14:textId="77777777" w:rsidR="00880976" w:rsidRPr="00367082" w:rsidRDefault="00880976" w:rsidP="007B299B">
            <w:pPr>
              <w:rPr>
                <w:rFonts w:cstheme="minorHAnsi"/>
                <w:sz w:val="18"/>
                <w:szCs w:val="18"/>
                <w:lang w:eastAsia="en-GB"/>
              </w:rPr>
            </w:pPr>
            <w:r>
              <w:rPr>
                <w:rFonts w:cstheme="minorHAnsi"/>
                <w:color w:val="000000"/>
                <w:lang w:eastAsia="en-GB"/>
              </w:rPr>
              <w:t xml:space="preserve">Application </w:t>
            </w:r>
            <w:r w:rsidRPr="00367082">
              <w:rPr>
                <w:rFonts w:cstheme="minorHAnsi"/>
                <w:color w:val="000000"/>
                <w:lang w:eastAsia="en-GB"/>
              </w:rPr>
              <w:t>successfully addresses all relevant aspects of the criterion. Any shortcomings are minor.  </w:t>
            </w:r>
          </w:p>
        </w:tc>
      </w:tr>
    </w:tbl>
    <w:p w14:paraId="720E637F" w14:textId="23F4FC5E" w:rsidR="00E0336D" w:rsidRPr="007047C7" w:rsidRDefault="0049127C" w:rsidP="007047C7">
      <w:pPr>
        <w:rPr>
          <w:rFonts w:cstheme="minorHAnsi"/>
          <w:highlight w:val="yellow"/>
          <w:lang w:val="en-GB"/>
        </w:rPr>
      </w:pPr>
      <w:r w:rsidRPr="007047C7">
        <w:rPr>
          <w:rFonts w:cstheme="minorHAnsi"/>
          <w:highlight w:val="yellow"/>
          <w:lang w:val="en-GB"/>
        </w:rPr>
        <w:t xml:space="preserve"> </w:t>
      </w:r>
    </w:p>
    <w:p w14:paraId="45811623" w14:textId="4ED1CA67" w:rsidR="00415346" w:rsidRDefault="00421061" w:rsidP="007B78BE">
      <w:pPr>
        <w:pStyle w:val="Heading2"/>
        <w:rPr>
          <w:lang w:val="en-GB"/>
        </w:rPr>
      </w:pPr>
      <w:bookmarkStart w:id="25" w:name="_Toc158819746"/>
      <w:r>
        <w:rPr>
          <w:lang w:val="en-GB"/>
        </w:rPr>
        <w:t>6.5</w:t>
      </w:r>
      <w:r w:rsidR="00C80858" w:rsidRPr="3AC873DE">
        <w:rPr>
          <w:lang w:val="en-GB"/>
        </w:rPr>
        <w:t xml:space="preserve"> Panels</w:t>
      </w:r>
      <w:bookmarkEnd w:id="25"/>
    </w:p>
    <w:p w14:paraId="0E3D7575" w14:textId="6BD80F38" w:rsidR="003733E7" w:rsidRDefault="003733E7" w:rsidP="003733E7">
      <w:r w:rsidRPr="00246339">
        <w:t xml:space="preserve">EIT Food staff will compile a </w:t>
      </w:r>
      <w:r>
        <w:t>preliminary</w:t>
      </w:r>
      <w:r w:rsidRPr="00246339">
        <w:t xml:space="preserve"> ranking of all proposals that scored above the Quality Threshold of 3.5. </w:t>
      </w:r>
      <w:r w:rsidR="007453F8">
        <w:t xml:space="preserve">Those proposals above the threshold will be invited to </w:t>
      </w:r>
      <w:r w:rsidR="00AD2315">
        <w:t xml:space="preserve">a live teleconference at a specific date and time. </w:t>
      </w:r>
      <w:r w:rsidR="00A41596">
        <w:t xml:space="preserve">The purpose of the panel is for the evaluators and the </w:t>
      </w:r>
      <w:r w:rsidR="00A45C69">
        <w:t>Startup/SME members to meet</w:t>
      </w:r>
      <w:r w:rsidR="0055724C">
        <w:t>;</w:t>
      </w:r>
      <w:r w:rsidR="00A45C69">
        <w:t xml:space="preserve"> the Startup will pit</w:t>
      </w:r>
      <w:r w:rsidR="00787EBD">
        <w:t>ch</w:t>
      </w:r>
      <w:r w:rsidR="0055724C">
        <w:t>,</w:t>
      </w:r>
      <w:r w:rsidR="00787EBD">
        <w:t xml:space="preserve"> followed by a Q&amp;A session for the evaluators to </w:t>
      </w:r>
      <w:r w:rsidR="009F3AED">
        <w:t>resolve any open questions from the evaluation. They may amend their scoring based on the answers provided by the applicants.</w:t>
      </w:r>
    </w:p>
    <w:p w14:paraId="19D2D9CE" w14:textId="5B5E090B" w:rsidR="00F115D8" w:rsidRPr="00F115D8" w:rsidRDefault="00F115D8" w:rsidP="003733E7">
      <w:pPr>
        <w:rPr>
          <w:b/>
          <w:bCs/>
        </w:rPr>
      </w:pPr>
      <w:r w:rsidRPr="00F115D8">
        <w:rPr>
          <w:b/>
          <w:bCs/>
        </w:rPr>
        <w:t>Protocol:</w:t>
      </w:r>
    </w:p>
    <w:p w14:paraId="52933888" w14:textId="71685EB3" w:rsidR="00B4267A" w:rsidRDefault="00B4267A">
      <w:pPr>
        <w:pStyle w:val="ListParagraph"/>
        <w:numPr>
          <w:ilvl w:val="0"/>
          <w:numId w:val="18"/>
        </w:numPr>
      </w:pPr>
      <w:r>
        <w:t>Prior to the Panel Meeting, expert evaluators</w:t>
      </w:r>
      <w:r w:rsidR="00F115D8">
        <w:t xml:space="preserve"> </w:t>
      </w:r>
      <w:r>
        <w:t>and internal EIT Food staff will review the selected proposals and prepare questions for the applicants.</w:t>
      </w:r>
    </w:p>
    <w:p w14:paraId="74EC9989" w14:textId="21D2BE84" w:rsidR="00B4267A" w:rsidRDefault="00B4267A">
      <w:pPr>
        <w:pStyle w:val="ListParagraph"/>
        <w:numPr>
          <w:ilvl w:val="0"/>
          <w:numId w:val="18"/>
        </w:numPr>
      </w:pPr>
      <w:r>
        <w:t xml:space="preserve">At the Panel Meeting, each </w:t>
      </w:r>
      <w:r w:rsidR="00076722">
        <w:t>applicant</w:t>
      </w:r>
      <w:r>
        <w:t xml:space="preserve"> will make an online pitch followed by a Q&amp;A session with the evaluators.</w:t>
      </w:r>
    </w:p>
    <w:p w14:paraId="4D9E1406" w14:textId="134CDC78" w:rsidR="00B4267A" w:rsidRPr="00246339" w:rsidRDefault="00B4267A">
      <w:pPr>
        <w:pStyle w:val="ListParagraph"/>
        <w:numPr>
          <w:ilvl w:val="0"/>
          <w:numId w:val="18"/>
        </w:numPr>
      </w:pPr>
      <w:r>
        <w:t xml:space="preserve">Following the Panel, evaluators will enter their final scores and the Rapporteur will compile evaluator feedback to be shared with each </w:t>
      </w:r>
      <w:r w:rsidR="00076722">
        <w:t>applicant</w:t>
      </w:r>
      <w:r>
        <w:t>.</w:t>
      </w:r>
    </w:p>
    <w:p w14:paraId="6D61A43F" w14:textId="77777777" w:rsidR="00C80858" w:rsidRPr="00C80858" w:rsidRDefault="00C80858" w:rsidP="00C80858">
      <w:pPr>
        <w:rPr>
          <w:lang w:val="en-GB"/>
        </w:rPr>
      </w:pPr>
    </w:p>
    <w:p w14:paraId="2BD9548B" w14:textId="19E2737A" w:rsidR="00246339" w:rsidRPr="007B78BE" w:rsidRDefault="0070753C" w:rsidP="007B78BE">
      <w:pPr>
        <w:pStyle w:val="Heading2"/>
        <w:rPr>
          <w:lang w:val="en-GB"/>
        </w:rPr>
      </w:pPr>
      <w:bookmarkStart w:id="26" w:name="_Toc158819747"/>
      <w:r>
        <w:rPr>
          <w:lang w:val="en-GB"/>
        </w:rPr>
        <w:t>6.6</w:t>
      </w:r>
      <w:r w:rsidR="00246339" w:rsidRPr="007B78BE">
        <w:rPr>
          <w:lang w:val="en-GB"/>
        </w:rPr>
        <w:t xml:space="preserve"> Selection</w:t>
      </w:r>
      <w:bookmarkEnd w:id="26"/>
    </w:p>
    <w:p w14:paraId="1ECC5029" w14:textId="27DB8926" w:rsidR="00246339" w:rsidRPr="00246339" w:rsidRDefault="00246339" w:rsidP="00246339">
      <w:r w:rsidRPr="00246339">
        <w:rPr>
          <w:b/>
          <w:bCs/>
        </w:rPr>
        <w:t xml:space="preserve">Proposals will be selected based on </w:t>
      </w:r>
      <w:r w:rsidR="00AD2315">
        <w:rPr>
          <w:b/>
          <w:bCs/>
        </w:rPr>
        <w:t>a final</w:t>
      </w:r>
      <w:r w:rsidRPr="00246339">
        <w:rPr>
          <w:b/>
          <w:bCs/>
        </w:rPr>
        <w:t xml:space="preserve"> ranking until the funding is exhausted. </w:t>
      </w:r>
    </w:p>
    <w:p w14:paraId="7FB7829B" w14:textId="1F2BFBDB" w:rsidR="00246339" w:rsidRDefault="00246339" w:rsidP="00246339">
      <w:r w:rsidRPr="007B78BE">
        <w:t>Proposals will not be offered funding if they are in any way manifestly contrary to EU general principles or established EU priorities or policies.</w:t>
      </w:r>
    </w:p>
    <w:p w14:paraId="15FAA550" w14:textId="6252F341" w:rsidR="007B78BE" w:rsidRDefault="0070753C" w:rsidP="0022558B">
      <w:pPr>
        <w:pStyle w:val="Heading2"/>
        <w:rPr>
          <w:lang w:val="en-GB"/>
        </w:rPr>
      </w:pPr>
      <w:bookmarkStart w:id="27" w:name="_Toc158819748"/>
      <w:r>
        <w:rPr>
          <w:lang w:val="en-GB"/>
        </w:rPr>
        <w:t>6.7</w:t>
      </w:r>
      <w:r w:rsidR="0022558B">
        <w:rPr>
          <w:lang w:val="en-GB"/>
        </w:rPr>
        <w:t xml:space="preserve"> Communication of Results to Applicants</w:t>
      </w:r>
      <w:bookmarkEnd w:id="27"/>
    </w:p>
    <w:p w14:paraId="1B376BAA" w14:textId="284618F3" w:rsidR="0022558B" w:rsidRPr="0022558B" w:rsidRDefault="0022558B" w:rsidP="0022558B">
      <w:r w:rsidRPr="0022558B">
        <w:t xml:space="preserve">EIT Food will send each </w:t>
      </w:r>
      <w:r w:rsidR="00701A77">
        <w:t>applicant</w:t>
      </w:r>
      <w:r w:rsidRPr="0022558B">
        <w:t xml:space="preserve"> an email with the </w:t>
      </w:r>
      <w:proofErr w:type="gramStart"/>
      <w:r w:rsidR="00701A77">
        <w:t xml:space="preserve">final </w:t>
      </w:r>
      <w:r w:rsidRPr="0022558B">
        <w:t>results</w:t>
      </w:r>
      <w:proofErr w:type="gramEnd"/>
      <w:r w:rsidRPr="0022558B">
        <w:t xml:space="preserve">, including evaluator comments </w:t>
      </w:r>
      <w:r w:rsidR="00701A77">
        <w:t>and feedback</w:t>
      </w:r>
      <w:r w:rsidRPr="0022558B">
        <w:t xml:space="preserve">. </w:t>
      </w:r>
    </w:p>
    <w:p w14:paraId="382A130E" w14:textId="3EDBE6F5" w:rsidR="0022558B" w:rsidRPr="0022558B" w:rsidRDefault="00113414" w:rsidP="0022558B">
      <w:r>
        <w:t>I</w:t>
      </w:r>
      <w:r w:rsidR="0022558B" w:rsidRPr="0022558B">
        <w:t xml:space="preserve">f EIT Food issues a conditional offer, said conditions will be included in the decision letter. </w:t>
      </w:r>
    </w:p>
    <w:p w14:paraId="75D409DE" w14:textId="0ABC4517" w:rsidR="00F26EF9" w:rsidRPr="0070753C" w:rsidRDefault="0070753C" w:rsidP="0070753C">
      <w:pPr>
        <w:pStyle w:val="Heading1"/>
        <w:rPr>
          <w:b/>
          <w:bCs/>
        </w:rPr>
      </w:pPr>
      <w:bookmarkStart w:id="28" w:name="_Hlk79707573"/>
      <w:bookmarkStart w:id="29" w:name="_Toc158819749"/>
      <w:r>
        <w:t xml:space="preserve">7. </w:t>
      </w:r>
      <w:r w:rsidR="00F26EF9" w:rsidRPr="0041687C">
        <w:t xml:space="preserve">Success-Based Financial Return </w:t>
      </w:r>
      <w:r w:rsidR="00ED1E76" w:rsidRPr="0041687C">
        <w:t>to EIT Food</w:t>
      </w:r>
      <w:bookmarkEnd w:id="29"/>
    </w:p>
    <w:p w14:paraId="628B8654" w14:textId="77777777" w:rsidR="00F26EF9" w:rsidRPr="00A73E6C" w:rsidRDefault="00F26EF9" w:rsidP="00F26EF9">
      <w:pPr>
        <w:pStyle w:val="NoSpacing"/>
        <w:rPr>
          <w:rFonts w:cstheme="minorHAnsi"/>
        </w:rPr>
      </w:pPr>
    </w:p>
    <w:p w14:paraId="14909E2D" w14:textId="2B4C4728" w:rsidR="00C236F0" w:rsidRPr="00C236F0" w:rsidRDefault="00C236F0" w:rsidP="00C236F0">
      <w:pPr>
        <w:rPr>
          <w:rFonts w:eastAsia="Calibri" w:cstheme="minorHAnsi"/>
        </w:rPr>
      </w:pPr>
      <w:r w:rsidRPr="00C236F0">
        <w:rPr>
          <w:rFonts w:eastAsia="Calibri" w:cstheme="minorHAnsi"/>
        </w:rPr>
        <w:t>In return for de-</w:t>
      </w:r>
      <w:r w:rsidR="00237F0F">
        <w:rPr>
          <w:rFonts w:eastAsia="Calibri" w:cstheme="minorHAnsi"/>
        </w:rPr>
        <w:t xml:space="preserve">risking your commercial investment through our funding, we’ll ask you to participate </w:t>
      </w:r>
      <w:r w:rsidR="00CA7A6F">
        <w:rPr>
          <w:rFonts w:eastAsia="Calibri" w:cstheme="minorHAnsi"/>
        </w:rPr>
        <w:t>in</w:t>
      </w:r>
      <w:r w:rsidRPr="00C236F0">
        <w:rPr>
          <w:rFonts w:eastAsia="Calibri" w:cstheme="minorHAnsi"/>
        </w:rPr>
        <w:t xml:space="preserve"> a </w:t>
      </w:r>
      <w:r w:rsidRPr="00C236F0">
        <w:rPr>
          <w:rFonts w:eastAsia="Calibri" w:cstheme="minorHAnsi"/>
          <w:i/>
          <w:iCs/>
        </w:rPr>
        <w:t>Success Sharing Mechanism</w:t>
      </w:r>
      <w:r w:rsidRPr="00C236F0">
        <w:rPr>
          <w:rFonts w:eastAsia="Calibri" w:cstheme="minorHAnsi"/>
        </w:rPr>
        <w:t xml:space="preserve">. This allows us to reinvest in our community to drive more systems change that will benefit us all. </w:t>
      </w:r>
    </w:p>
    <w:p w14:paraId="496E108F" w14:textId="7AE9AAD7" w:rsidR="00C236F0" w:rsidRDefault="00C236F0" w:rsidP="00C236F0">
      <w:pPr>
        <w:rPr>
          <w:rFonts w:eastAsia="Calibri" w:cstheme="minorHAnsi"/>
        </w:rPr>
      </w:pPr>
      <w:r w:rsidRPr="00C236F0">
        <w:rPr>
          <w:rFonts w:eastAsia="Calibri" w:cstheme="minorHAnsi"/>
        </w:rPr>
        <w:t xml:space="preserve">This creates the potential, over a reasonable period, to return a minimum of 100% </w:t>
      </w:r>
      <w:r w:rsidR="00407060">
        <w:rPr>
          <w:rFonts w:eastAsia="Calibri" w:cstheme="minorHAnsi"/>
        </w:rPr>
        <w:t xml:space="preserve">up to a </w:t>
      </w:r>
      <w:r w:rsidR="00407060" w:rsidRPr="00257227">
        <w:rPr>
          <w:rFonts w:eastAsia="Calibri" w:cstheme="minorHAnsi"/>
        </w:rPr>
        <w:t>maximum of 150%</w:t>
      </w:r>
      <w:r w:rsidR="00407060">
        <w:rPr>
          <w:rFonts w:eastAsia="Calibri" w:cstheme="minorHAnsi"/>
        </w:rPr>
        <w:t xml:space="preserve"> </w:t>
      </w:r>
      <w:r w:rsidRPr="00C236F0">
        <w:rPr>
          <w:rFonts w:eastAsia="Calibri" w:cstheme="minorHAnsi"/>
        </w:rPr>
        <w:t xml:space="preserve">of the value of the project funding you benefit from in your commercial plans and outcomes under the project award. </w:t>
      </w:r>
    </w:p>
    <w:p w14:paraId="16E24A2E" w14:textId="596E49F2" w:rsidR="00F26EF9" w:rsidRPr="00A73E6C" w:rsidRDefault="0070753C" w:rsidP="0041687C">
      <w:pPr>
        <w:pStyle w:val="Heading2"/>
      </w:pPr>
      <w:bookmarkStart w:id="30" w:name="_Toc158819750"/>
      <w:r>
        <w:lastRenderedPageBreak/>
        <w:t>7</w:t>
      </w:r>
      <w:r w:rsidR="0041687C">
        <w:t xml:space="preserve">.1 </w:t>
      </w:r>
      <w:r w:rsidR="00F26EF9" w:rsidRPr="00A73E6C">
        <w:t>Revenue Based Financ</w:t>
      </w:r>
      <w:r w:rsidR="00A91EA7" w:rsidRPr="00A73E6C">
        <w:t xml:space="preserve">ing </w:t>
      </w:r>
      <w:r w:rsidR="00F26EF9" w:rsidRPr="00A73E6C">
        <w:t>(RBF)</w:t>
      </w:r>
      <w:bookmarkEnd w:id="30"/>
    </w:p>
    <w:p w14:paraId="5392B76C" w14:textId="6DF90E00" w:rsidR="00E416AA" w:rsidRDefault="00234E83" w:rsidP="00033111">
      <w:pPr>
        <w:rPr>
          <w:rFonts w:cstheme="minorHAnsi"/>
        </w:rPr>
      </w:pPr>
      <w:r>
        <w:rPr>
          <w:rFonts w:cstheme="minorHAnsi"/>
        </w:rPr>
        <w:t>For the</w:t>
      </w:r>
      <w:r w:rsidR="00C6250E" w:rsidRPr="00A73E6C">
        <w:rPr>
          <w:rFonts w:cstheme="minorHAnsi"/>
        </w:rPr>
        <w:t xml:space="preserve"> Fast Track to Market</w:t>
      </w:r>
      <w:r>
        <w:rPr>
          <w:rFonts w:cstheme="minorHAnsi"/>
        </w:rPr>
        <w:t xml:space="preserve">, </w:t>
      </w:r>
      <w:r w:rsidR="004C19B4">
        <w:rPr>
          <w:rFonts w:cstheme="minorHAnsi"/>
        </w:rPr>
        <w:t>selected sub-grantees</w:t>
      </w:r>
      <w:r>
        <w:rPr>
          <w:rFonts w:cstheme="minorHAnsi"/>
        </w:rPr>
        <w:t xml:space="preserve"> will </w:t>
      </w:r>
      <w:r w:rsidR="004C19B4">
        <w:rPr>
          <w:rFonts w:cstheme="minorHAnsi"/>
        </w:rPr>
        <w:t>commit to EIT Food’s Success Sharing Mechanism</w:t>
      </w:r>
      <w:r w:rsidR="00CE36C0" w:rsidRPr="00A73E6C">
        <w:rPr>
          <w:rFonts w:cstheme="minorHAnsi"/>
        </w:rPr>
        <w:t xml:space="preserve"> through signing </w:t>
      </w:r>
      <w:r w:rsidR="00B73E85">
        <w:rPr>
          <w:rFonts w:cstheme="minorHAnsi"/>
        </w:rPr>
        <w:t xml:space="preserve">a </w:t>
      </w:r>
      <w:r w:rsidR="00CE36C0" w:rsidRPr="00A73E6C">
        <w:rPr>
          <w:rFonts w:cstheme="minorHAnsi"/>
        </w:rPr>
        <w:t>Revenue Based Finance Agreement</w:t>
      </w:r>
      <w:r w:rsidR="00B73E85">
        <w:rPr>
          <w:rFonts w:cstheme="minorHAnsi"/>
        </w:rPr>
        <w:t xml:space="preserve">, which </w:t>
      </w:r>
      <w:r w:rsidR="00CC4E2E">
        <w:rPr>
          <w:rFonts w:cstheme="minorHAnsi"/>
        </w:rPr>
        <w:t xml:space="preserve">consists of </w:t>
      </w:r>
      <w:r w:rsidR="00C66564">
        <w:rPr>
          <w:rFonts w:cstheme="minorHAnsi"/>
        </w:rPr>
        <w:t>a repayment</w:t>
      </w:r>
      <w:r w:rsidR="00C66564" w:rsidDel="000A5E85">
        <w:rPr>
          <w:rFonts w:cstheme="minorHAnsi"/>
        </w:rPr>
        <w:t xml:space="preserve"> </w:t>
      </w:r>
      <w:r w:rsidR="00C66564">
        <w:rPr>
          <w:rFonts w:cstheme="minorHAnsi"/>
        </w:rPr>
        <w:t xml:space="preserve">based on </w:t>
      </w:r>
      <w:r w:rsidR="00811758">
        <w:rPr>
          <w:rFonts w:cstheme="minorHAnsi"/>
        </w:rPr>
        <w:t xml:space="preserve">your </w:t>
      </w:r>
      <w:r w:rsidR="00C66564">
        <w:rPr>
          <w:rFonts w:cstheme="minorHAnsi"/>
        </w:rPr>
        <w:t>company’s revenue. It is not dependent on the sales of the foreseen marketed innovation.</w:t>
      </w:r>
    </w:p>
    <w:p w14:paraId="67A11BE6" w14:textId="278B6A78" w:rsidR="00E37FC1" w:rsidRPr="00E4539A" w:rsidRDefault="00E97400" w:rsidP="00033111">
      <w:pPr>
        <w:rPr>
          <w:rFonts w:cstheme="minorHAnsi"/>
        </w:rPr>
      </w:pPr>
      <w:r w:rsidRPr="006F3AAE">
        <w:rPr>
          <w:rFonts w:cstheme="minorHAnsi"/>
        </w:rPr>
        <w:t xml:space="preserve">The </w:t>
      </w:r>
      <w:r w:rsidR="002A50F6" w:rsidRPr="006F3AAE">
        <w:rPr>
          <w:rFonts w:cstheme="minorHAnsi"/>
        </w:rPr>
        <w:t xml:space="preserve">default RBF multiplier is </w:t>
      </w:r>
      <w:r w:rsidR="003D41B8" w:rsidRPr="006F3AAE">
        <w:rPr>
          <w:rFonts w:cstheme="minorHAnsi"/>
        </w:rPr>
        <w:t xml:space="preserve">1.5 x the Subgrant Amount and will be repaid </w:t>
      </w:r>
      <w:r w:rsidR="006F3AAE" w:rsidRPr="006F3AAE">
        <w:rPr>
          <w:rFonts w:cstheme="minorHAnsi"/>
        </w:rPr>
        <w:t xml:space="preserve">either </w:t>
      </w:r>
      <w:r w:rsidR="003D41B8" w:rsidRPr="006F3AAE">
        <w:rPr>
          <w:rFonts w:cstheme="minorHAnsi"/>
        </w:rPr>
        <w:t>semi-annually</w:t>
      </w:r>
      <w:r w:rsidR="00C21D7D" w:rsidRPr="006F3AAE">
        <w:rPr>
          <w:rFonts w:cstheme="minorHAnsi"/>
        </w:rPr>
        <w:t xml:space="preserve"> </w:t>
      </w:r>
      <w:r w:rsidR="006F3AAE" w:rsidRPr="006F3AAE">
        <w:rPr>
          <w:rFonts w:cstheme="minorHAnsi"/>
        </w:rPr>
        <w:t>or annually, with</w:t>
      </w:r>
      <w:r w:rsidR="003D41B8" w:rsidRPr="006F3AAE">
        <w:rPr>
          <w:rFonts w:cstheme="minorHAnsi"/>
        </w:rPr>
        <w:t xml:space="preserve">in 4 years, with </w:t>
      </w:r>
      <w:r w:rsidR="00B021B3" w:rsidRPr="006F3AAE">
        <w:rPr>
          <w:rFonts w:cstheme="minorHAnsi"/>
        </w:rPr>
        <w:t>amounts that</w:t>
      </w:r>
      <w:r w:rsidR="00B021B3" w:rsidRPr="009A3248">
        <w:rPr>
          <w:rFonts w:cstheme="minorHAnsi"/>
        </w:rPr>
        <w:t xml:space="preserve"> vary between 3% to 8% from </w:t>
      </w:r>
      <w:r w:rsidR="00811758" w:rsidRPr="009A3248">
        <w:rPr>
          <w:rFonts w:cstheme="minorHAnsi"/>
        </w:rPr>
        <w:t xml:space="preserve">your </w:t>
      </w:r>
      <w:r w:rsidR="008E1B7E" w:rsidRPr="009A3248">
        <w:rPr>
          <w:rFonts w:cstheme="minorHAnsi"/>
        </w:rPr>
        <w:t xml:space="preserve">company’s </w:t>
      </w:r>
      <w:r w:rsidR="00B021B3" w:rsidRPr="009A3248">
        <w:rPr>
          <w:rFonts w:cstheme="minorHAnsi"/>
        </w:rPr>
        <w:t xml:space="preserve">top-line revenues of the 6 preceding months. EIT Food incentivizes </w:t>
      </w:r>
      <w:r w:rsidR="00C02121" w:rsidRPr="009A3248">
        <w:rPr>
          <w:rFonts w:cstheme="minorHAnsi"/>
        </w:rPr>
        <w:t>high performing SME’s by decreasing the multiplier as the SME repays faster</w:t>
      </w:r>
      <w:r w:rsidR="00DC4242" w:rsidRPr="009A3248">
        <w:rPr>
          <w:rFonts w:cstheme="minorHAnsi"/>
        </w:rPr>
        <w:t xml:space="preserve">. The RBF </w:t>
      </w:r>
      <w:r w:rsidR="00E804BC" w:rsidRPr="009A3248">
        <w:rPr>
          <w:rFonts w:cstheme="minorHAnsi"/>
        </w:rPr>
        <w:t>revenue cap</w:t>
      </w:r>
      <w:r w:rsidR="003D41B8" w:rsidRPr="009A3248">
        <w:rPr>
          <w:rFonts w:cstheme="minorHAnsi"/>
        </w:rPr>
        <w:t xml:space="preserve"> </w:t>
      </w:r>
      <w:r w:rsidR="00DC4242" w:rsidRPr="009A3248">
        <w:rPr>
          <w:rFonts w:cstheme="minorHAnsi"/>
        </w:rPr>
        <w:t xml:space="preserve">will </w:t>
      </w:r>
      <w:r w:rsidR="003D41B8" w:rsidRPr="009A3248">
        <w:rPr>
          <w:rFonts w:cstheme="minorHAnsi"/>
        </w:rPr>
        <w:t>therefore</w:t>
      </w:r>
      <w:r w:rsidR="00E804BC" w:rsidRPr="009A3248">
        <w:rPr>
          <w:rFonts w:cstheme="minorHAnsi"/>
        </w:rPr>
        <w:t xml:space="preserve"> </w:t>
      </w:r>
      <w:r w:rsidR="00371C16" w:rsidRPr="009A3248">
        <w:rPr>
          <w:rFonts w:cstheme="minorHAnsi"/>
        </w:rPr>
        <w:t xml:space="preserve">range </w:t>
      </w:r>
      <w:r w:rsidR="00371C16" w:rsidRPr="00E4539A">
        <w:rPr>
          <w:rFonts w:cstheme="minorHAnsi"/>
        </w:rPr>
        <w:t>from 1.</w:t>
      </w:r>
      <w:r w:rsidR="009C1183" w:rsidRPr="00E4539A">
        <w:rPr>
          <w:rFonts w:cstheme="minorHAnsi"/>
        </w:rPr>
        <w:t>1</w:t>
      </w:r>
      <w:r w:rsidR="00371C16" w:rsidRPr="00E4539A">
        <w:rPr>
          <w:rFonts w:cstheme="minorHAnsi"/>
        </w:rPr>
        <w:t xml:space="preserve"> – 1.5</w:t>
      </w:r>
      <w:r w:rsidR="00DC4242" w:rsidRPr="00E4539A">
        <w:rPr>
          <w:rFonts w:cstheme="minorHAnsi"/>
        </w:rPr>
        <w:t xml:space="preserve"> w</w:t>
      </w:r>
      <w:r w:rsidR="000F5E3F" w:rsidRPr="00E4539A">
        <w:rPr>
          <w:rFonts w:cstheme="minorHAnsi"/>
        </w:rPr>
        <w:t xml:space="preserve">ith a repayment period between </w:t>
      </w:r>
      <w:r w:rsidR="000A5E85">
        <w:rPr>
          <w:rFonts w:cstheme="minorHAnsi"/>
        </w:rPr>
        <w:t>1</w:t>
      </w:r>
      <w:r w:rsidR="000F5E3F" w:rsidRPr="00E4539A">
        <w:rPr>
          <w:rFonts w:cstheme="minorHAnsi"/>
        </w:rPr>
        <w:t xml:space="preserve"> to 4 years. </w:t>
      </w:r>
      <w:r w:rsidR="002A50F6" w:rsidRPr="00E4539A">
        <w:rPr>
          <w:rFonts w:cstheme="minorHAnsi"/>
        </w:rPr>
        <w:t xml:space="preserve"> </w:t>
      </w:r>
    </w:p>
    <w:p w14:paraId="468D8427" w14:textId="4E73ACB7" w:rsidR="000F5E3F" w:rsidRPr="00E4539A" w:rsidRDefault="0070753C" w:rsidP="0041687C">
      <w:pPr>
        <w:pStyle w:val="Heading2"/>
      </w:pPr>
      <w:bookmarkStart w:id="31" w:name="_Toc158819751"/>
      <w:r w:rsidRPr="00E4539A">
        <w:t>7</w:t>
      </w:r>
      <w:r w:rsidR="0041687C" w:rsidRPr="00E4539A">
        <w:t xml:space="preserve">.2 </w:t>
      </w:r>
      <w:r w:rsidR="000F5E3F" w:rsidRPr="00E4539A">
        <w:t>Prefinancing</w:t>
      </w:r>
      <w:r w:rsidR="00247E9C" w:rsidRPr="00E4539A">
        <w:t xml:space="preserve"> </w:t>
      </w:r>
      <w:r w:rsidR="006F1B73" w:rsidRPr="00E4539A">
        <w:t>and RBF Repayment</w:t>
      </w:r>
      <w:bookmarkEnd w:id="31"/>
    </w:p>
    <w:p w14:paraId="2F27F7EE" w14:textId="77777777" w:rsidR="00A60FEB" w:rsidRDefault="009E551A" w:rsidP="4BC4EA7E">
      <w:r w:rsidRPr="00E4539A">
        <w:t>Selected SME’s will recei</w:t>
      </w:r>
      <w:r w:rsidR="00CE2DA9" w:rsidRPr="00E4539A">
        <w:t>ve the funding in two pre-financing rounds. The first release</w:t>
      </w:r>
      <w:r w:rsidR="009A1694" w:rsidRPr="00E4539A">
        <w:t xml:space="preserve"> of 60%</w:t>
      </w:r>
      <w:r w:rsidR="00CE2DA9" w:rsidRPr="00E4539A">
        <w:t xml:space="preserve"> is scheduled upon signature of the sub-grant agreement. The second release</w:t>
      </w:r>
      <w:r w:rsidR="009A1694" w:rsidRPr="00E4539A">
        <w:t xml:space="preserve"> of 40%</w:t>
      </w:r>
      <w:r w:rsidR="00CE2DA9" w:rsidRPr="00E4539A">
        <w:t xml:space="preserve"> is scheduled</w:t>
      </w:r>
      <w:r w:rsidR="00CE2DA9" w:rsidRPr="4BC4EA7E">
        <w:t xml:space="preserve"> upon the successful completion of t</w:t>
      </w:r>
      <w:r w:rsidR="008965E0" w:rsidRPr="4BC4EA7E">
        <w:t>he project (</w:t>
      </w:r>
      <w:proofErr w:type="gramStart"/>
      <w:r w:rsidR="008965E0" w:rsidRPr="4BC4EA7E">
        <w:t>i.e.</w:t>
      </w:r>
      <w:proofErr w:type="gramEnd"/>
      <w:r w:rsidR="008965E0" w:rsidRPr="4BC4EA7E">
        <w:t xml:space="preserve"> sales transaction). The m</w:t>
      </w:r>
      <w:r w:rsidRPr="4BC4EA7E">
        <w:t xml:space="preserve">inimum repayment equals the first pre-financing amount. </w:t>
      </w:r>
    </w:p>
    <w:p w14:paraId="06547D4F" w14:textId="58EDA223" w:rsidR="009E551A" w:rsidRPr="00A73E6C" w:rsidRDefault="008965E0" w:rsidP="72BBBB50">
      <w:r w:rsidRPr="72BBBB50">
        <w:t xml:space="preserve">The SME </w:t>
      </w:r>
      <w:r w:rsidR="0007022D">
        <w:t>must</w:t>
      </w:r>
      <w:r w:rsidRPr="72BBBB50">
        <w:t xml:space="preserve"> repay</w:t>
      </w:r>
      <w:r w:rsidR="0007022D">
        <w:t xml:space="preserve"> EIT Food according to the terms below</w:t>
      </w:r>
      <w:r w:rsidRPr="72BBBB50">
        <w:t xml:space="preserve">, </w:t>
      </w:r>
      <w:r w:rsidR="00E541EB" w:rsidRPr="00A73E6C">
        <w:rPr>
          <w:rFonts w:cstheme="minorHAnsi"/>
        </w:rPr>
        <w:t xml:space="preserve">based on </w:t>
      </w:r>
      <w:r w:rsidR="00E541EB">
        <w:rPr>
          <w:rFonts w:cstheme="minorHAnsi"/>
        </w:rPr>
        <w:t>the company’s</w:t>
      </w:r>
      <w:r w:rsidR="00E541EB" w:rsidRPr="00A73E6C">
        <w:rPr>
          <w:rFonts w:cstheme="minorHAnsi"/>
        </w:rPr>
        <w:t xml:space="preserve"> top-line revenues</w:t>
      </w:r>
      <w:r w:rsidRPr="72BBBB50">
        <w:t>.</w:t>
      </w:r>
      <w:r w:rsidR="00E541EB">
        <w:t xml:space="preserve"> This means that the repayment is not linked to the sales generated from the product or service being launched on the market as part of the Fast Track to Market.</w:t>
      </w:r>
      <w:r w:rsidRPr="72BBBB50">
        <w:t xml:space="preserve"> The </w:t>
      </w:r>
      <w:r w:rsidR="00FD5876" w:rsidRPr="72BBBB50">
        <w:t>principal amount in the RBF agreement will be lowered if</w:t>
      </w:r>
      <w:r w:rsidR="00033111" w:rsidRPr="72BBBB50">
        <w:t xml:space="preserve"> the 2</w:t>
      </w:r>
      <w:r w:rsidR="00033111" w:rsidRPr="72BBBB50">
        <w:rPr>
          <w:vertAlign w:val="superscript"/>
        </w:rPr>
        <w:t>nd</w:t>
      </w:r>
      <w:r w:rsidR="00033111" w:rsidRPr="72BBBB50">
        <w:t xml:space="preserve"> release is cancelled </w:t>
      </w:r>
      <w:r w:rsidR="00E37FC1" w:rsidRPr="72BBBB50">
        <w:t xml:space="preserve">following EIT Food’s decision to revise or terminate the project.  </w:t>
      </w:r>
    </w:p>
    <w:p w14:paraId="2F2DE0EE" w14:textId="29FCA703" w:rsidR="00F26EF9" w:rsidRPr="00A73E6C" w:rsidRDefault="0070753C" w:rsidP="0041687C">
      <w:pPr>
        <w:pStyle w:val="Heading2"/>
      </w:pPr>
      <w:bookmarkStart w:id="32" w:name="_Toc158819752"/>
      <w:r>
        <w:t>7</w:t>
      </w:r>
      <w:r w:rsidR="0041687C">
        <w:t xml:space="preserve">.3 </w:t>
      </w:r>
      <w:r w:rsidR="00620DF5" w:rsidRPr="00A73E6C">
        <w:t>Summary of Terms</w:t>
      </w:r>
      <w:bookmarkEnd w:id="32"/>
      <w:r w:rsidR="00F26EF9" w:rsidRPr="00A73E6C">
        <w:t xml:space="preserve">  </w:t>
      </w:r>
    </w:p>
    <w:bookmarkEnd w:id="28"/>
    <w:tbl>
      <w:tblPr>
        <w:tblStyle w:val="ListTable1Light-Accent2"/>
        <w:tblW w:w="10206" w:type="dxa"/>
        <w:tblLook w:val="04A0" w:firstRow="1" w:lastRow="0" w:firstColumn="1" w:lastColumn="0" w:noHBand="0" w:noVBand="1"/>
      </w:tblPr>
      <w:tblGrid>
        <w:gridCol w:w="247"/>
        <w:gridCol w:w="247"/>
        <w:gridCol w:w="924"/>
        <w:gridCol w:w="8788"/>
      </w:tblGrid>
      <w:tr w:rsidR="00620DF5" w:rsidRPr="00A73E6C" w14:paraId="182AC4D0" w14:textId="77777777" w:rsidTr="00620DF5">
        <w:trPr>
          <w:gridAfter w:val="2"/>
          <w:cnfStyle w:val="100000000000" w:firstRow="1" w:lastRow="0" w:firstColumn="0" w:lastColumn="0" w:oddVBand="0" w:evenVBand="0" w:oddHBand="0" w:evenHBand="0" w:firstRowFirstColumn="0" w:firstRowLastColumn="0" w:lastRowFirstColumn="0" w:lastRowLastColumn="0"/>
          <w:wAfter w:w="9712" w:type="dxa"/>
          <w:trHeight w:val="282"/>
        </w:trPr>
        <w:tc>
          <w:tcPr>
            <w:cnfStyle w:val="001000000000" w:firstRow="0" w:lastRow="0" w:firstColumn="1" w:lastColumn="0" w:oddVBand="0" w:evenVBand="0" w:oddHBand="0" w:evenHBand="0" w:firstRowFirstColumn="0" w:firstRowLastColumn="0" w:lastRowFirstColumn="0" w:lastRowLastColumn="0"/>
            <w:tcW w:w="247" w:type="dxa"/>
          </w:tcPr>
          <w:p w14:paraId="36B2A6CB" w14:textId="77777777" w:rsidR="00620DF5" w:rsidRPr="00A73E6C" w:rsidRDefault="00620DF5" w:rsidP="007B299B">
            <w:pPr>
              <w:jc w:val="center"/>
              <w:rPr>
                <w:rFonts w:cstheme="minorHAnsi"/>
              </w:rPr>
            </w:pPr>
          </w:p>
        </w:tc>
        <w:tc>
          <w:tcPr>
            <w:tcW w:w="247" w:type="dxa"/>
          </w:tcPr>
          <w:p w14:paraId="7EB59BE6" w14:textId="77777777" w:rsidR="00620DF5" w:rsidRPr="00A73E6C" w:rsidRDefault="00620DF5" w:rsidP="007B299B">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620DF5" w:rsidRPr="00A73E6C" w14:paraId="516F11B0" w14:textId="77777777" w:rsidTr="00620DF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8" w:type="dxa"/>
            <w:gridSpan w:val="3"/>
          </w:tcPr>
          <w:p w14:paraId="3BCD1596" w14:textId="77777777" w:rsidR="00620DF5" w:rsidRPr="00A73E6C" w:rsidRDefault="00620DF5" w:rsidP="007B299B">
            <w:pPr>
              <w:jc w:val="center"/>
              <w:rPr>
                <w:rFonts w:cstheme="minorHAnsi"/>
              </w:rPr>
            </w:pPr>
            <w:r w:rsidRPr="00A73E6C">
              <w:rPr>
                <w:rFonts w:cstheme="minorHAnsi"/>
              </w:rPr>
              <w:t>Key Terms</w:t>
            </w:r>
          </w:p>
        </w:tc>
        <w:tc>
          <w:tcPr>
            <w:tcW w:w="8788" w:type="dxa"/>
          </w:tcPr>
          <w:p w14:paraId="45C1F3E8" w14:textId="4C02A4C1" w:rsidR="00620DF5" w:rsidRPr="00A73E6C" w:rsidRDefault="00620DF5" w:rsidP="007B299B">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A73E6C">
              <w:rPr>
                <w:rFonts w:cstheme="minorHAnsi"/>
                <w:b/>
                <w:bCs/>
              </w:rPr>
              <w:t>R</w:t>
            </w:r>
            <w:r w:rsidR="00EF3AB2">
              <w:rPr>
                <w:rFonts w:cstheme="minorHAnsi"/>
                <w:b/>
                <w:bCs/>
              </w:rPr>
              <w:t>evenue-</w:t>
            </w:r>
            <w:r w:rsidRPr="00A73E6C">
              <w:rPr>
                <w:rFonts w:cstheme="minorHAnsi"/>
                <w:b/>
                <w:bCs/>
              </w:rPr>
              <w:t>B</w:t>
            </w:r>
            <w:r w:rsidR="00EF3AB2">
              <w:rPr>
                <w:rFonts w:cstheme="minorHAnsi"/>
                <w:b/>
                <w:bCs/>
              </w:rPr>
              <w:t xml:space="preserve">ased </w:t>
            </w:r>
            <w:r w:rsidRPr="00A73E6C">
              <w:rPr>
                <w:rFonts w:cstheme="minorHAnsi"/>
                <w:b/>
                <w:bCs/>
              </w:rPr>
              <w:t>F</w:t>
            </w:r>
            <w:r w:rsidR="00EF3AB2">
              <w:rPr>
                <w:rFonts w:cstheme="minorHAnsi"/>
                <w:b/>
                <w:bCs/>
              </w:rPr>
              <w:t>inancing</w:t>
            </w:r>
          </w:p>
        </w:tc>
      </w:tr>
      <w:tr w:rsidR="00620DF5" w:rsidRPr="00A73E6C" w14:paraId="21B7CAB0" w14:textId="77777777" w:rsidTr="00620DF5">
        <w:trPr>
          <w:trHeight w:val="368"/>
        </w:trPr>
        <w:tc>
          <w:tcPr>
            <w:cnfStyle w:val="001000000000" w:firstRow="0" w:lastRow="0" w:firstColumn="1" w:lastColumn="0" w:oddVBand="0" w:evenVBand="0" w:oddHBand="0" w:evenHBand="0" w:firstRowFirstColumn="0" w:firstRowLastColumn="0" w:lastRowFirstColumn="0" w:lastRowLastColumn="0"/>
            <w:tcW w:w="1418" w:type="dxa"/>
            <w:gridSpan w:val="3"/>
          </w:tcPr>
          <w:p w14:paraId="2D067A69" w14:textId="54D8640B" w:rsidR="00620DF5" w:rsidRPr="00A73E6C" w:rsidRDefault="009C6599" w:rsidP="007B299B">
            <w:pPr>
              <w:rPr>
                <w:rFonts w:cstheme="minorHAnsi"/>
              </w:rPr>
            </w:pPr>
            <w:r w:rsidRPr="00A73E6C">
              <w:rPr>
                <w:rFonts w:cstheme="minorHAnsi"/>
              </w:rPr>
              <w:t>Scheme</w:t>
            </w:r>
          </w:p>
        </w:tc>
        <w:tc>
          <w:tcPr>
            <w:tcW w:w="8788" w:type="dxa"/>
          </w:tcPr>
          <w:p w14:paraId="5EBCA539" w14:textId="1F86E0A7" w:rsidR="009C6599" w:rsidRPr="00A73E6C" w:rsidRDefault="00165765" w:rsidP="009C6599">
            <w:pPr>
              <w:cnfStyle w:val="000000000000" w:firstRow="0" w:lastRow="0" w:firstColumn="0" w:lastColumn="0" w:oddVBand="0" w:evenVBand="0" w:oddHBand="0" w:evenHBand="0" w:firstRowFirstColumn="0" w:firstRowLastColumn="0" w:lastRowFirstColumn="0" w:lastRowLastColumn="0"/>
              <w:rPr>
                <w:rFonts w:cstheme="minorHAnsi"/>
              </w:rPr>
            </w:pPr>
            <w:r w:rsidRPr="00A73E6C">
              <w:rPr>
                <w:rFonts w:cstheme="minorHAnsi"/>
              </w:rPr>
              <w:t xml:space="preserve">Repayment based on </w:t>
            </w:r>
            <w:r w:rsidR="00AC2BF0">
              <w:rPr>
                <w:rFonts w:cstheme="minorHAnsi"/>
              </w:rPr>
              <w:t>the company’s</w:t>
            </w:r>
            <w:r w:rsidRPr="00A73E6C">
              <w:rPr>
                <w:rFonts w:cstheme="minorHAnsi"/>
              </w:rPr>
              <w:t xml:space="preserve"> top-line revenues including a possibility to adapt duration terms according to business performance and speeds of generating revenues.</w:t>
            </w:r>
          </w:p>
          <w:p w14:paraId="6C92D014" w14:textId="47472753" w:rsidR="00620DF5" w:rsidRPr="00A73E6C" w:rsidRDefault="00620DF5" w:rsidP="009C6599">
            <w:pPr>
              <w:cnfStyle w:val="000000000000" w:firstRow="0" w:lastRow="0" w:firstColumn="0" w:lastColumn="0" w:oddVBand="0" w:evenVBand="0" w:oddHBand="0" w:evenHBand="0" w:firstRowFirstColumn="0" w:firstRowLastColumn="0" w:lastRowFirstColumn="0" w:lastRowLastColumn="0"/>
              <w:rPr>
                <w:rFonts w:cstheme="minorHAnsi"/>
              </w:rPr>
            </w:pPr>
          </w:p>
        </w:tc>
      </w:tr>
      <w:tr w:rsidR="00393422" w:rsidRPr="00A73E6C" w14:paraId="30243E1B" w14:textId="77777777" w:rsidTr="00620DF5">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18" w:type="dxa"/>
            <w:gridSpan w:val="3"/>
          </w:tcPr>
          <w:p w14:paraId="57FD750F" w14:textId="1A7C45A6" w:rsidR="00393422" w:rsidRPr="00A73E6C" w:rsidRDefault="00393422" w:rsidP="007B299B">
            <w:pPr>
              <w:rPr>
                <w:rFonts w:cstheme="minorHAnsi"/>
              </w:rPr>
            </w:pPr>
            <w:r w:rsidRPr="00A73E6C">
              <w:rPr>
                <w:rFonts w:cstheme="minorHAnsi"/>
              </w:rPr>
              <w:t>Principal Amount</w:t>
            </w:r>
          </w:p>
        </w:tc>
        <w:tc>
          <w:tcPr>
            <w:tcW w:w="8788" w:type="dxa"/>
          </w:tcPr>
          <w:p w14:paraId="3180AAC6" w14:textId="02799086" w:rsidR="00393422" w:rsidRPr="00A73E6C" w:rsidRDefault="00AD7D1C" w:rsidP="009C659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Up to 4</w:t>
            </w:r>
            <w:r w:rsidR="00393422" w:rsidRPr="00A73E6C">
              <w:rPr>
                <w:rFonts w:cstheme="minorHAnsi"/>
              </w:rPr>
              <w:t>00.000</w:t>
            </w:r>
            <w:r w:rsidR="004B46E7">
              <w:rPr>
                <w:rFonts w:cstheme="minorHAnsi"/>
              </w:rPr>
              <w:t xml:space="preserve"> EUR</w:t>
            </w:r>
          </w:p>
        </w:tc>
      </w:tr>
      <w:tr w:rsidR="00620DF5" w:rsidRPr="00A73E6C" w14:paraId="0B63C214" w14:textId="77777777" w:rsidTr="00620DF5">
        <w:trPr>
          <w:trHeight w:val="470"/>
        </w:trPr>
        <w:tc>
          <w:tcPr>
            <w:cnfStyle w:val="001000000000" w:firstRow="0" w:lastRow="0" w:firstColumn="1" w:lastColumn="0" w:oddVBand="0" w:evenVBand="0" w:oddHBand="0" w:evenHBand="0" w:firstRowFirstColumn="0" w:firstRowLastColumn="0" w:lastRowFirstColumn="0" w:lastRowLastColumn="0"/>
            <w:tcW w:w="1418" w:type="dxa"/>
            <w:gridSpan w:val="3"/>
          </w:tcPr>
          <w:p w14:paraId="0A6A070B" w14:textId="77777777" w:rsidR="00620DF5" w:rsidRPr="00A73E6C" w:rsidRDefault="00620DF5" w:rsidP="007B299B">
            <w:pPr>
              <w:rPr>
                <w:rFonts w:cstheme="minorHAnsi"/>
              </w:rPr>
            </w:pPr>
            <w:r w:rsidRPr="00A73E6C">
              <w:rPr>
                <w:rFonts w:cstheme="minorHAnsi"/>
              </w:rPr>
              <w:t>Repayment</w:t>
            </w:r>
          </w:p>
        </w:tc>
        <w:tc>
          <w:tcPr>
            <w:tcW w:w="8788" w:type="dxa"/>
          </w:tcPr>
          <w:p w14:paraId="3E68C275" w14:textId="6EC6E5A8" w:rsidR="00620DF5" w:rsidRPr="00A73E6C" w:rsidRDefault="00620DF5" w:rsidP="007B299B">
            <w:pPr>
              <w:cnfStyle w:val="000000000000" w:firstRow="0" w:lastRow="0" w:firstColumn="0" w:lastColumn="0" w:oddVBand="0" w:evenVBand="0" w:oddHBand="0" w:evenHBand="0" w:firstRowFirstColumn="0" w:firstRowLastColumn="0" w:lastRowFirstColumn="0" w:lastRowLastColumn="0"/>
              <w:rPr>
                <w:rFonts w:cstheme="minorHAnsi"/>
              </w:rPr>
            </w:pPr>
            <w:r w:rsidRPr="00A73E6C">
              <w:rPr>
                <w:rFonts w:cstheme="minorHAnsi"/>
              </w:rPr>
              <w:t>Repayment of the RBF Amount equal to X% of the</w:t>
            </w:r>
            <w:r w:rsidR="0082626E">
              <w:rPr>
                <w:rFonts w:cstheme="minorHAnsi"/>
              </w:rPr>
              <w:t xml:space="preserve"> company’s</w:t>
            </w:r>
            <w:r w:rsidRPr="00A73E6C">
              <w:rPr>
                <w:rFonts w:cstheme="minorHAnsi"/>
              </w:rPr>
              <w:t xml:space="preserve"> revenues on</w:t>
            </w:r>
            <w:r w:rsidR="006F3AAE">
              <w:rPr>
                <w:rFonts w:cstheme="minorHAnsi"/>
              </w:rPr>
              <w:t xml:space="preserve"> a</w:t>
            </w:r>
            <w:r w:rsidRPr="00A73E6C">
              <w:rPr>
                <w:rFonts w:cstheme="minorHAnsi"/>
              </w:rPr>
              <w:t xml:space="preserve"> </w:t>
            </w:r>
            <w:r w:rsidR="00C30D61">
              <w:rPr>
                <w:rFonts w:cstheme="minorHAnsi"/>
              </w:rPr>
              <w:t>semi-</w:t>
            </w:r>
            <w:r w:rsidRPr="00A73E6C">
              <w:rPr>
                <w:rFonts w:cstheme="minorHAnsi"/>
              </w:rPr>
              <w:t>annual</w:t>
            </w:r>
            <w:r w:rsidR="006F3AAE">
              <w:rPr>
                <w:rFonts w:cstheme="minorHAnsi"/>
              </w:rPr>
              <w:t xml:space="preserve"> or annual</w:t>
            </w:r>
            <w:r w:rsidRPr="00A73E6C">
              <w:rPr>
                <w:rFonts w:cstheme="minorHAnsi"/>
              </w:rPr>
              <w:t xml:space="preserve"> basis</w:t>
            </w:r>
          </w:p>
        </w:tc>
      </w:tr>
      <w:tr w:rsidR="00DD58C3" w:rsidRPr="00A73E6C" w14:paraId="25D0A254" w14:textId="77777777" w:rsidTr="00620DF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8" w:type="dxa"/>
            <w:gridSpan w:val="3"/>
          </w:tcPr>
          <w:p w14:paraId="617C05B1" w14:textId="36EC95CD" w:rsidR="00DD58C3" w:rsidRPr="00A73E6C" w:rsidRDefault="00276AAE" w:rsidP="007B299B">
            <w:pPr>
              <w:rPr>
                <w:rFonts w:cstheme="minorHAnsi"/>
              </w:rPr>
            </w:pPr>
            <w:r>
              <w:rPr>
                <w:rFonts w:cstheme="minorHAnsi"/>
              </w:rPr>
              <w:t>Multiplier</w:t>
            </w:r>
          </w:p>
        </w:tc>
        <w:tc>
          <w:tcPr>
            <w:tcW w:w="8788" w:type="dxa"/>
          </w:tcPr>
          <w:p w14:paraId="3F4DB6DB" w14:textId="3E07D13F" w:rsidR="00DD58C3" w:rsidRPr="00A73E6C" w:rsidRDefault="00DD58C3" w:rsidP="00DD58C3">
            <w:pPr>
              <w:cnfStyle w:val="000000100000" w:firstRow="0" w:lastRow="0" w:firstColumn="0" w:lastColumn="0" w:oddVBand="0" w:evenVBand="0" w:oddHBand="1" w:evenHBand="0" w:firstRowFirstColumn="0" w:firstRowLastColumn="0" w:lastRowFirstColumn="0" w:lastRowLastColumn="0"/>
              <w:rPr>
                <w:rFonts w:cstheme="minorHAnsi"/>
              </w:rPr>
            </w:pPr>
            <w:r w:rsidRPr="00A73E6C">
              <w:rPr>
                <w:rFonts w:cstheme="minorHAnsi"/>
              </w:rPr>
              <w:t xml:space="preserve">The default RBF multiplier is </w:t>
            </w:r>
            <w:r w:rsidRPr="00E4539A">
              <w:rPr>
                <w:rFonts w:cstheme="minorHAnsi"/>
              </w:rPr>
              <w:t>1.5x the</w:t>
            </w:r>
            <w:r w:rsidRPr="00A73E6C">
              <w:rPr>
                <w:rFonts w:cstheme="minorHAnsi"/>
              </w:rPr>
              <w:t xml:space="preserve"> Commitment with a 4-year repayment period. It decreases as you repay faster: </w:t>
            </w:r>
          </w:p>
          <w:p w14:paraId="236CB9AA" w14:textId="77777777" w:rsidR="00DD58C3" w:rsidRPr="00A73E6C" w:rsidRDefault="00DD58C3" w:rsidP="00DD58C3">
            <w:pPr>
              <w:cnfStyle w:val="000000100000" w:firstRow="0" w:lastRow="0" w:firstColumn="0" w:lastColumn="0" w:oddVBand="0" w:evenVBand="0" w:oddHBand="1" w:evenHBand="0" w:firstRowFirstColumn="0" w:firstRowLastColumn="0" w:lastRowFirstColumn="0" w:lastRowLastColumn="0"/>
              <w:rPr>
                <w:rFonts w:cstheme="minorHAnsi"/>
              </w:rPr>
            </w:pPr>
          </w:p>
          <w:p w14:paraId="1D1B7AE3" w14:textId="025E97FB" w:rsidR="00DD58C3" w:rsidRPr="00A73E6C" w:rsidRDefault="00DD58C3" w:rsidP="00DD58C3">
            <w:pPr>
              <w:cnfStyle w:val="000000100000" w:firstRow="0" w:lastRow="0" w:firstColumn="0" w:lastColumn="0" w:oddVBand="0" w:evenVBand="0" w:oddHBand="1" w:evenHBand="0" w:firstRowFirstColumn="0" w:firstRowLastColumn="0" w:lastRowFirstColumn="0" w:lastRowLastColumn="0"/>
              <w:rPr>
                <w:rFonts w:cstheme="minorHAnsi"/>
              </w:rPr>
            </w:pPr>
            <w:r w:rsidRPr="00A73E6C">
              <w:rPr>
                <w:rFonts w:cstheme="minorHAnsi"/>
              </w:rPr>
              <w:t>1.</w:t>
            </w:r>
            <w:r w:rsidR="00B41E87">
              <w:rPr>
                <w:rFonts w:cstheme="minorHAnsi"/>
              </w:rPr>
              <w:t>1</w:t>
            </w:r>
            <w:r w:rsidRPr="00A73E6C">
              <w:rPr>
                <w:rFonts w:cstheme="minorHAnsi"/>
              </w:rPr>
              <w:t>x the Commitment if paid in 2025</w:t>
            </w:r>
            <w:r w:rsidR="00FD2FD9">
              <w:rPr>
                <w:rFonts w:cstheme="minorHAnsi"/>
              </w:rPr>
              <w:t xml:space="preserve"> = </w:t>
            </w:r>
            <w:r w:rsidR="004813C6">
              <w:rPr>
                <w:rFonts w:cstheme="minorHAnsi"/>
              </w:rPr>
              <w:t>4</w:t>
            </w:r>
            <w:r w:rsidR="009F71F3">
              <w:rPr>
                <w:rFonts w:cstheme="minorHAnsi"/>
              </w:rPr>
              <w:t>4</w:t>
            </w:r>
            <w:r w:rsidR="004813C6">
              <w:rPr>
                <w:rFonts w:cstheme="minorHAnsi"/>
              </w:rPr>
              <w:t>0</w:t>
            </w:r>
            <w:r w:rsidR="004B46E7">
              <w:rPr>
                <w:rFonts w:cstheme="minorHAnsi"/>
              </w:rPr>
              <w:t>.000 EUR</w:t>
            </w:r>
          </w:p>
          <w:p w14:paraId="42461EEC" w14:textId="4727039D" w:rsidR="00DD58C3" w:rsidRPr="00A73E6C" w:rsidRDefault="00DD58C3" w:rsidP="00DD58C3">
            <w:pPr>
              <w:cnfStyle w:val="000000100000" w:firstRow="0" w:lastRow="0" w:firstColumn="0" w:lastColumn="0" w:oddVBand="0" w:evenVBand="0" w:oddHBand="1" w:evenHBand="0" w:firstRowFirstColumn="0" w:firstRowLastColumn="0" w:lastRowFirstColumn="0" w:lastRowLastColumn="0"/>
              <w:rPr>
                <w:rFonts w:cstheme="minorHAnsi"/>
              </w:rPr>
            </w:pPr>
            <w:r w:rsidRPr="00A73E6C">
              <w:rPr>
                <w:rFonts w:cstheme="minorHAnsi"/>
              </w:rPr>
              <w:t>1.</w:t>
            </w:r>
            <w:r w:rsidR="00B41E87">
              <w:rPr>
                <w:rFonts w:cstheme="minorHAnsi"/>
              </w:rPr>
              <w:t>2</w:t>
            </w:r>
            <w:r w:rsidRPr="00A73E6C">
              <w:rPr>
                <w:rFonts w:cstheme="minorHAnsi"/>
              </w:rPr>
              <w:t>x the Commitment if paid by 2026</w:t>
            </w:r>
            <w:r w:rsidR="004B46E7">
              <w:rPr>
                <w:rFonts w:cstheme="minorHAnsi"/>
              </w:rPr>
              <w:t xml:space="preserve"> = </w:t>
            </w:r>
            <w:r w:rsidR="009F71F3">
              <w:rPr>
                <w:rFonts w:cstheme="minorHAnsi"/>
              </w:rPr>
              <w:t>48</w:t>
            </w:r>
            <w:r w:rsidR="006A26A5">
              <w:rPr>
                <w:rFonts w:cstheme="minorHAnsi"/>
              </w:rPr>
              <w:t>0</w:t>
            </w:r>
            <w:r w:rsidR="00775D94">
              <w:rPr>
                <w:rFonts w:cstheme="minorHAnsi"/>
              </w:rPr>
              <w:t>.000 EUR</w:t>
            </w:r>
          </w:p>
          <w:p w14:paraId="6DA8141C" w14:textId="74DF4D77" w:rsidR="00DD58C3" w:rsidRPr="00A73E6C" w:rsidRDefault="00DD58C3" w:rsidP="00DD58C3">
            <w:pPr>
              <w:cnfStyle w:val="000000100000" w:firstRow="0" w:lastRow="0" w:firstColumn="0" w:lastColumn="0" w:oddVBand="0" w:evenVBand="0" w:oddHBand="1" w:evenHBand="0" w:firstRowFirstColumn="0" w:firstRowLastColumn="0" w:lastRowFirstColumn="0" w:lastRowLastColumn="0"/>
              <w:rPr>
                <w:rFonts w:cstheme="minorHAnsi"/>
              </w:rPr>
            </w:pPr>
            <w:r w:rsidRPr="00A73E6C">
              <w:rPr>
                <w:rFonts w:cstheme="minorHAnsi"/>
              </w:rPr>
              <w:t>1.4x the Commitment if paid by 2027</w:t>
            </w:r>
            <w:r w:rsidR="00775D94">
              <w:rPr>
                <w:rFonts w:cstheme="minorHAnsi"/>
              </w:rPr>
              <w:t xml:space="preserve"> = </w:t>
            </w:r>
            <w:r w:rsidR="00C2577E">
              <w:rPr>
                <w:rFonts w:cstheme="minorHAnsi"/>
              </w:rPr>
              <w:t>560</w:t>
            </w:r>
            <w:r w:rsidR="00775D94">
              <w:rPr>
                <w:rFonts w:cstheme="minorHAnsi"/>
              </w:rPr>
              <w:t>.000 EUR</w:t>
            </w:r>
          </w:p>
          <w:p w14:paraId="6DF331F6" w14:textId="0DF9628E" w:rsidR="00DD58C3" w:rsidRPr="00A73E6C" w:rsidRDefault="00DD58C3" w:rsidP="00DD58C3">
            <w:pPr>
              <w:cnfStyle w:val="000000100000" w:firstRow="0" w:lastRow="0" w:firstColumn="0" w:lastColumn="0" w:oddVBand="0" w:evenVBand="0" w:oddHBand="1" w:evenHBand="0" w:firstRowFirstColumn="0" w:firstRowLastColumn="0" w:lastRowFirstColumn="0" w:lastRowLastColumn="0"/>
              <w:rPr>
                <w:rFonts w:cstheme="minorHAnsi"/>
              </w:rPr>
            </w:pPr>
            <w:r w:rsidRPr="00A73E6C">
              <w:rPr>
                <w:rFonts w:cstheme="minorHAnsi"/>
              </w:rPr>
              <w:t>1.5x the Commitment if paid by 2028</w:t>
            </w:r>
            <w:r w:rsidR="00775D94">
              <w:rPr>
                <w:rFonts w:cstheme="minorHAnsi"/>
              </w:rPr>
              <w:t xml:space="preserve"> = </w:t>
            </w:r>
            <w:r w:rsidR="00650D40">
              <w:rPr>
                <w:rFonts w:cstheme="minorHAnsi"/>
              </w:rPr>
              <w:t>600</w:t>
            </w:r>
            <w:r w:rsidR="00775D94">
              <w:rPr>
                <w:rFonts w:cstheme="minorHAnsi"/>
              </w:rPr>
              <w:t>.000 EUR</w:t>
            </w:r>
          </w:p>
        </w:tc>
      </w:tr>
      <w:tr w:rsidR="00620DF5" w:rsidRPr="00A73E6C" w14:paraId="485E521D" w14:textId="77777777" w:rsidTr="00620DF5">
        <w:trPr>
          <w:trHeight w:val="857"/>
        </w:trPr>
        <w:tc>
          <w:tcPr>
            <w:cnfStyle w:val="001000000000" w:firstRow="0" w:lastRow="0" w:firstColumn="1" w:lastColumn="0" w:oddVBand="0" w:evenVBand="0" w:oddHBand="0" w:evenHBand="0" w:firstRowFirstColumn="0" w:firstRowLastColumn="0" w:lastRowFirstColumn="0" w:lastRowLastColumn="0"/>
            <w:tcW w:w="1418" w:type="dxa"/>
            <w:gridSpan w:val="3"/>
          </w:tcPr>
          <w:p w14:paraId="116F23E9" w14:textId="77777777" w:rsidR="00620DF5" w:rsidRPr="00A73E6C" w:rsidRDefault="00620DF5" w:rsidP="007B299B">
            <w:pPr>
              <w:rPr>
                <w:rFonts w:cstheme="minorHAnsi"/>
              </w:rPr>
            </w:pPr>
            <w:r w:rsidRPr="00A73E6C">
              <w:rPr>
                <w:rFonts w:cstheme="minorHAnsi"/>
              </w:rPr>
              <w:t>Additional rights</w:t>
            </w:r>
          </w:p>
        </w:tc>
        <w:tc>
          <w:tcPr>
            <w:tcW w:w="8788" w:type="dxa"/>
          </w:tcPr>
          <w:p w14:paraId="6FC14DB3" w14:textId="22AD9325" w:rsidR="00620DF5" w:rsidRPr="00A73E6C" w:rsidRDefault="00620DF5" w:rsidP="007B299B">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A73E6C">
              <w:rPr>
                <w:rFonts w:cstheme="minorHAnsi"/>
                <w:bCs/>
              </w:rPr>
              <w:t>As long as</w:t>
            </w:r>
            <w:proofErr w:type="gramEnd"/>
            <w:r w:rsidRPr="00A73E6C">
              <w:rPr>
                <w:rFonts w:cstheme="minorHAnsi"/>
                <w:bCs/>
              </w:rPr>
              <w:t xml:space="preserve"> the RBF amount payable is outstanding, </w:t>
            </w:r>
            <w:r w:rsidRPr="00A73E6C">
              <w:rPr>
                <w:rFonts w:cstheme="minorHAnsi"/>
              </w:rPr>
              <w:t xml:space="preserve">EIT Food is keen on having the same information rights as members of the </w:t>
            </w:r>
            <w:r w:rsidR="00E97400" w:rsidRPr="00A73E6C">
              <w:rPr>
                <w:rFonts w:cstheme="minorHAnsi"/>
              </w:rPr>
              <w:t>SME Applicants</w:t>
            </w:r>
            <w:r w:rsidRPr="00A73E6C">
              <w:rPr>
                <w:rFonts w:cstheme="minorHAnsi"/>
              </w:rPr>
              <w:t xml:space="preserve"> Managing Board.</w:t>
            </w:r>
          </w:p>
        </w:tc>
      </w:tr>
    </w:tbl>
    <w:p w14:paraId="780F821A" w14:textId="262DB04B" w:rsidR="00BE5B35" w:rsidRDefault="00BE5B35" w:rsidP="00BE5B35">
      <w:pPr>
        <w:pStyle w:val="Heading1"/>
      </w:pPr>
      <w:bookmarkStart w:id="33" w:name="_Toc78972858"/>
      <w:bookmarkStart w:id="34" w:name="_Toc79042313"/>
      <w:bookmarkStart w:id="35" w:name="_Toc79042745"/>
      <w:bookmarkStart w:id="36" w:name="_Toc79042805"/>
      <w:bookmarkStart w:id="37" w:name="_Toc79042871"/>
      <w:bookmarkStart w:id="38" w:name="_Toc79045402"/>
      <w:bookmarkStart w:id="39" w:name="_Toc78972859"/>
      <w:bookmarkStart w:id="40" w:name="_Toc79042314"/>
      <w:bookmarkStart w:id="41" w:name="_Toc79042746"/>
      <w:bookmarkStart w:id="42" w:name="_Toc79042806"/>
      <w:bookmarkStart w:id="43" w:name="_Toc79042872"/>
      <w:bookmarkStart w:id="44" w:name="_Toc79045403"/>
      <w:bookmarkStart w:id="45" w:name="_Toc78972861"/>
      <w:bookmarkStart w:id="46" w:name="_Toc79042316"/>
      <w:bookmarkStart w:id="47" w:name="_Toc79042748"/>
      <w:bookmarkStart w:id="48" w:name="_Toc79042808"/>
      <w:bookmarkStart w:id="49" w:name="_Toc79042874"/>
      <w:bookmarkStart w:id="50" w:name="_Toc79045405"/>
      <w:bookmarkStart w:id="51" w:name="_Toc78972862"/>
      <w:bookmarkStart w:id="52" w:name="_Toc79042317"/>
      <w:bookmarkStart w:id="53" w:name="_Toc79042749"/>
      <w:bookmarkStart w:id="54" w:name="_Toc79042809"/>
      <w:bookmarkStart w:id="55" w:name="_Toc79042875"/>
      <w:bookmarkStart w:id="56" w:name="_Toc79045406"/>
      <w:bookmarkStart w:id="57" w:name="_Toc78972863"/>
      <w:bookmarkStart w:id="58" w:name="_Toc79042318"/>
      <w:bookmarkStart w:id="59" w:name="_Toc79042750"/>
      <w:bookmarkStart w:id="60" w:name="_Toc79042810"/>
      <w:bookmarkStart w:id="61" w:name="_Toc79042876"/>
      <w:bookmarkStart w:id="62" w:name="_Toc79045407"/>
      <w:bookmarkStart w:id="63" w:name="_Toc78972864"/>
      <w:bookmarkStart w:id="64" w:name="_Toc79042319"/>
      <w:bookmarkStart w:id="65" w:name="_Toc79042751"/>
      <w:bookmarkStart w:id="66" w:name="_Toc79042811"/>
      <w:bookmarkStart w:id="67" w:name="_Toc79042877"/>
      <w:bookmarkStart w:id="68" w:name="_Toc79045408"/>
      <w:bookmarkStart w:id="69" w:name="_Toc78972865"/>
      <w:bookmarkStart w:id="70" w:name="_Toc79042320"/>
      <w:bookmarkStart w:id="71" w:name="_Toc79042752"/>
      <w:bookmarkStart w:id="72" w:name="_Toc79042812"/>
      <w:bookmarkStart w:id="73" w:name="_Toc79042878"/>
      <w:bookmarkStart w:id="74" w:name="_Toc79045409"/>
      <w:bookmarkStart w:id="75" w:name="_Toc78972866"/>
      <w:bookmarkStart w:id="76" w:name="_Toc79042321"/>
      <w:bookmarkStart w:id="77" w:name="_Toc79042753"/>
      <w:bookmarkStart w:id="78" w:name="_Toc79042813"/>
      <w:bookmarkStart w:id="79" w:name="_Toc79042879"/>
      <w:bookmarkStart w:id="80" w:name="_Toc79045410"/>
      <w:bookmarkStart w:id="81" w:name="_Toc78972867"/>
      <w:bookmarkStart w:id="82" w:name="_Toc79042322"/>
      <w:bookmarkStart w:id="83" w:name="_Toc79042754"/>
      <w:bookmarkStart w:id="84" w:name="_Toc79042814"/>
      <w:bookmarkStart w:id="85" w:name="_Toc79042880"/>
      <w:bookmarkStart w:id="86" w:name="_Toc79045411"/>
      <w:bookmarkStart w:id="87" w:name="_Toc78972871"/>
      <w:bookmarkStart w:id="88" w:name="_Toc79042326"/>
      <w:bookmarkStart w:id="89" w:name="_Toc79042758"/>
      <w:bookmarkStart w:id="90" w:name="_Toc79042818"/>
      <w:bookmarkStart w:id="91" w:name="_Toc79042884"/>
      <w:bookmarkStart w:id="92" w:name="_Toc79045415"/>
      <w:bookmarkStart w:id="93" w:name="_Toc78972872"/>
      <w:bookmarkStart w:id="94" w:name="_Toc79042327"/>
      <w:bookmarkStart w:id="95" w:name="_Toc79042759"/>
      <w:bookmarkStart w:id="96" w:name="_Toc79042819"/>
      <w:bookmarkStart w:id="97" w:name="_Toc79042885"/>
      <w:bookmarkStart w:id="98" w:name="_Toc79045416"/>
      <w:bookmarkStart w:id="99" w:name="_Toc78972873"/>
      <w:bookmarkStart w:id="100" w:name="_Toc79042328"/>
      <w:bookmarkStart w:id="101" w:name="_Toc79042760"/>
      <w:bookmarkStart w:id="102" w:name="_Toc79042820"/>
      <w:bookmarkStart w:id="103" w:name="_Toc79042886"/>
      <w:bookmarkStart w:id="104" w:name="_Toc79045417"/>
      <w:bookmarkStart w:id="105" w:name="_Toc78972875"/>
      <w:bookmarkStart w:id="106" w:name="_Toc79042330"/>
      <w:bookmarkStart w:id="107" w:name="_Toc79042762"/>
      <w:bookmarkStart w:id="108" w:name="_Toc79042822"/>
      <w:bookmarkStart w:id="109" w:name="_Toc79042888"/>
      <w:bookmarkStart w:id="110" w:name="_Toc79045419"/>
      <w:bookmarkStart w:id="111" w:name="_Toc78972878"/>
      <w:bookmarkStart w:id="112" w:name="_Toc79042333"/>
      <w:bookmarkStart w:id="113" w:name="_Toc79042765"/>
      <w:bookmarkStart w:id="114" w:name="_Toc79042825"/>
      <w:bookmarkStart w:id="115" w:name="_Toc79042891"/>
      <w:bookmarkStart w:id="116" w:name="_Toc79045422"/>
      <w:bookmarkStart w:id="117" w:name="_Toc78972879"/>
      <w:bookmarkStart w:id="118" w:name="_Toc79042334"/>
      <w:bookmarkStart w:id="119" w:name="_Toc79042766"/>
      <w:bookmarkStart w:id="120" w:name="_Toc79042826"/>
      <w:bookmarkStart w:id="121" w:name="_Toc79042892"/>
      <w:bookmarkStart w:id="122" w:name="_Toc79045423"/>
      <w:bookmarkStart w:id="123" w:name="_Sustainable__Aquaculture:"/>
      <w:bookmarkStart w:id="124" w:name="_Toc596400958"/>
      <w:bookmarkStart w:id="125" w:name="_Toc470927386"/>
      <w:bookmarkStart w:id="126" w:name="_Toc1018434791"/>
      <w:bookmarkStart w:id="127" w:name="_Toc1691302030"/>
      <w:bookmarkStart w:id="128" w:name="_Toc126584131"/>
      <w:bookmarkStart w:id="129" w:name="_Toc1802556325"/>
      <w:bookmarkStart w:id="130" w:name="_Toc34497053"/>
      <w:bookmarkStart w:id="131" w:name="_Toc158819753"/>
      <w:bookmarkEnd w:id="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8.  </w:t>
      </w:r>
      <w:bookmarkEnd w:id="124"/>
      <w:bookmarkEnd w:id="125"/>
      <w:bookmarkEnd w:id="126"/>
      <w:bookmarkEnd w:id="127"/>
      <w:bookmarkEnd w:id="128"/>
      <w:r>
        <w:t>Administrative Items</w:t>
      </w:r>
      <w:bookmarkEnd w:id="129"/>
      <w:bookmarkEnd w:id="131"/>
    </w:p>
    <w:p w14:paraId="05FF07AD" w14:textId="77777777" w:rsidR="00BE5B35" w:rsidRPr="00297A01" w:rsidRDefault="00BE5B35" w:rsidP="00BE5B35">
      <w:pPr>
        <w:spacing w:after="0" w:line="240" w:lineRule="auto"/>
      </w:pPr>
    </w:p>
    <w:p w14:paraId="23D61E70" w14:textId="0BF99AD3" w:rsidR="00BE5B35" w:rsidRPr="00AC6299" w:rsidRDefault="00BE5B35" w:rsidP="00BE5B35">
      <w:pPr>
        <w:pStyle w:val="Heading2"/>
      </w:pPr>
      <w:bookmarkStart w:id="132" w:name="_Toc1597576884"/>
      <w:bookmarkStart w:id="133" w:name="_Toc158819754"/>
      <w:r>
        <w:t>8.1 Appeal to Results</w:t>
      </w:r>
      <w:bookmarkEnd w:id="132"/>
      <w:bookmarkEnd w:id="133"/>
    </w:p>
    <w:p w14:paraId="7A240523" w14:textId="77777777" w:rsidR="00501954" w:rsidRPr="00501954" w:rsidRDefault="00501954" w:rsidP="00B60A99">
      <w:r w:rsidRPr="00501954">
        <w:t xml:space="preserve">Applicants can submit an appeal within 5 days of result receipt, if: </w:t>
      </w:r>
    </w:p>
    <w:p w14:paraId="52E6122A" w14:textId="1D795429" w:rsidR="00501954" w:rsidRPr="00501954" w:rsidRDefault="00501954" w:rsidP="00B60A99">
      <w:r w:rsidRPr="00501954">
        <w:t>1.</w:t>
      </w:r>
      <w:r w:rsidRPr="00501954">
        <w:tab/>
        <w:t>There is an indication that the results of the eligibility checks were incorrect</w:t>
      </w:r>
      <w:r w:rsidR="007D1F63" w:rsidRPr="00B60A99">
        <w:t>.</w:t>
      </w:r>
      <w:r w:rsidRPr="00501954">
        <w:t xml:space="preserve">  </w:t>
      </w:r>
    </w:p>
    <w:p w14:paraId="5F53B83D" w14:textId="77777777" w:rsidR="00501954" w:rsidRPr="00501954" w:rsidRDefault="00501954" w:rsidP="00B60A99">
      <w:r w:rsidRPr="00501954">
        <w:t>2.</w:t>
      </w:r>
      <w:r w:rsidRPr="00501954">
        <w:tab/>
        <w:t xml:space="preserve">The evaluation of their proposal has not been carried out in accordance with the procedures set out in this document.   </w:t>
      </w:r>
    </w:p>
    <w:p w14:paraId="231E98F0" w14:textId="71C97AF4" w:rsidR="00BE5B35" w:rsidRPr="00B60A99" w:rsidRDefault="00501954" w:rsidP="00B60A99">
      <w:r w:rsidRPr="00B60A99">
        <w:t xml:space="preserve">For more details, please read </w:t>
      </w:r>
      <w:r w:rsidR="00764479">
        <w:t>Annex 2:</w:t>
      </w:r>
      <w:r w:rsidRPr="00B60A99">
        <w:t xml:space="preserve"> </w:t>
      </w:r>
      <w:hyperlink r:id="rId34" w:history="1">
        <w:r w:rsidR="00764479" w:rsidRPr="00764479">
          <w:rPr>
            <w:rStyle w:val="Hyperlink"/>
          </w:rPr>
          <w:t>Redress Mechanism.  </w:t>
        </w:r>
      </w:hyperlink>
    </w:p>
    <w:p w14:paraId="2D0377B3" w14:textId="77777777" w:rsidR="00AE7AEA" w:rsidRPr="007D1F63" w:rsidRDefault="00AE7AEA" w:rsidP="007D1F63">
      <w:pPr>
        <w:pStyle w:val="paragraph"/>
        <w:spacing w:before="0" w:beforeAutospacing="0" w:after="0" w:afterAutospacing="0"/>
        <w:textAlignment w:val="baseline"/>
        <w:rPr>
          <w:rFonts w:ascii="Segoe UI" w:hAnsi="Segoe UI" w:cs="Segoe UI"/>
          <w:sz w:val="18"/>
          <w:szCs w:val="18"/>
        </w:rPr>
      </w:pPr>
    </w:p>
    <w:p w14:paraId="3E3EDC4F" w14:textId="41C141F3" w:rsidR="008F502E" w:rsidRPr="00B763D0" w:rsidRDefault="00BE5B35" w:rsidP="00B763D0">
      <w:pPr>
        <w:pStyle w:val="Heading2"/>
      </w:pPr>
      <w:bookmarkStart w:id="134" w:name="_Toc527889892"/>
      <w:bookmarkStart w:id="135" w:name="_Toc158819755"/>
      <w:r>
        <w:t>8.2. EIT Food Legal Framework &amp; Legal Documents to be signed</w:t>
      </w:r>
      <w:bookmarkEnd w:id="134"/>
      <w:bookmarkEnd w:id="135"/>
    </w:p>
    <w:p w14:paraId="7303B332" w14:textId="307862FC" w:rsidR="008F502E" w:rsidRPr="008F502E" w:rsidRDefault="008F502E" w:rsidP="008F502E">
      <w:r w:rsidRPr="008F502E">
        <w:rPr>
          <w:b/>
          <w:bCs/>
        </w:rPr>
        <w:t>Subgrant Agreement:</w:t>
      </w:r>
      <w:r w:rsidRPr="008F502E">
        <w:t xml:space="preserve"> document that outlines the conditions of the financial support provided.</w:t>
      </w:r>
    </w:p>
    <w:p w14:paraId="0A47873A" w14:textId="49CC01E2" w:rsidR="00232AE6" w:rsidRDefault="008F502E" w:rsidP="008F502E">
      <w:r w:rsidRPr="008F502E">
        <w:rPr>
          <w:b/>
          <w:bCs/>
        </w:rPr>
        <w:t>Revenue-based financial return agreement (RBF):</w:t>
      </w:r>
      <w:r w:rsidRPr="008F502E">
        <w:t xml:space="preserve"> document that outlines the terms for the repayment of the investment from the SME to EIT Food.</w:t>
      </w:r>
    </w:p>
    <w:p w14:paraId="2EF9CED6" w14:textId="77777777" w:rsidR="00BA6112" w:rsidRDefault="00BA6112" w:rsidP="008F502E"/>
    <w:p w14:paraId="5A5B3206" w14:textId="39D948E2" w:rsidR="00BA6112" w:rsidRDefault="00BA6112" w:rsidP="00BA6112">
      <w:pPr>
        <w:pStyle w:val="Heading2"/>
      </w:pPr>
      <w:bookmarkStart w:id="136" w:name="_Toc158819756"/>
      <w:r>
        <w:t>8.3 Funding</w:t>
      </w:r>
      <w:bookmarkEnd w:id="136"/>
      <w:r>
        <w:t xml:space="preserve"> </w:t>
      </w:r>
    </w:p>
    <w:p w14:paraId="779B05F7" w14:textId="77777777" w:rsidR="00BA6112" w:rsidRDefault="00BA6112" w:rsidP="00BA6112">
      <w:r>
        <w:t xml:space="preserve">Implementing participant </w:t>
      </w:r>
      <w:r w:rsidRPr="69322EAD">
        <w:t>recipient</w:t>
      </w:r>
      <w:r>
        <w:t>s</w:t>
      </w:r>
      <w:r w:rsidRPr="69322EAD">
        <w:t xml:space="preserve"> will receive </w:t>
      </w:r>
      <w:r>
        <w:t xml:space="preserve">a </w:t>
      </w:r>
      <w:r w:rsidRPr="69322EAD">
        <w:t>subgrant to fund their cost</w:t>
      </w:r>
      <w:r>
        <w:t xml:space="preserve">. </w:t>
      </w:r>
      <w:r w:rsidRPr="69322EAD">
        <w:t xml:space="preserve">This </w:t>
      </w:r>
      <w:r>
        <w:t>is</w:t>
      </w:r>
      <w:r w:rsidRPr="69322EAD">
        <w:t xml:space="preserve"> cascade funding: </w:t>
      </w:r>
    </w:p>
    <w:p w14:paraId="1140C341" w14:textId="77777777" w:rsidR="00BA6112" w:rsidRPr="00137688" w:rsidRDefault="00BA6112" w:rsidP="00BA6112">
      <w:pPr>
        <w:pStyle w:val="ListParagraph"/>
        <w:numPr>
          <w:ilvl w:val="0"/>
          <w:numId w:val="23"/>
        </w:numPr>
        <w:rPr>
          <w:rFonts w:eastAsiaTheme="minorEastAsia"/>
        </w:rPr>
      </w:pPr>
      <w:r w:rsidRPr="00137688">
        <w:rPr>
          <w:rFonts w:eastAsiaTheme="minorEastAsia"/>
        </w:rPr>
        <w:t>Participation in the KAVA may begin at the earliest from June 2024 up to a maximum of 10 months of funding from the start date.</w:t>
      </w:r>
    </w:p>
    <w:p w14:paraId="7C8F4517" w14:textId="77777777" w:rsidR="00BA6112" w:rsidRPr="00137688" w:rsidRDefault="00BA6112" w:rsidP="00BA6112">
      <w:pPr>
        <w:pStyle w:val="ListParagraph"/>
        <w:numPr>
          <w:ilvl w:val="0"/>
          <w:numId w:val="23"/>
        </w:numPr>
        <w:rPr>
          <w:rFonts w:eastAsiaTheme="minorEastAsia"/>
        </w:rPr>
      </w:pPr>
      <w:r w:rsidRPr="00137688">
        <w:rPr>
          <w:rFonts w:eastAsiaTheme="minorEastAsia"/>
        </w:rPr>
        <w:t>Estimated funding for that period per participant is up to a maximum of 400.000 EUR.</w:t>
      </w:r>
    </w:p>
    <w:p w14:paraId="1F5A7134" w14:textId="77777777" w:rsidR="00BA6112" w:rsidRDefault="00BA6112" w:rsidP="00BA6112">
      <w:pPr>
        <w:rPr>
          <w:rFonts w:ascii="Calibri" w:eastAsia="Calibri" w:hAnsi="Calibri" w:cs="Calibri"/>
        </w:rPr>
      </w:pPr>
      <w:r w:rsidRPr="00310B84">
        <w:rPr>
          <w:rFonts w:ascii="Calibri" w:eastAsia="Calibri" w:hAnsi="Calibri" w:cs="Calibri"/>
          <w:color w:val="000000" w:themeColor="text1"/>
          <w:lang w:val="en-GB"/>
        </w:rPr>
        <w:t xml:space="preserve">There is a 6 million EUR limit per participants from Member States of the European Union (EU) and from </w:t>
      </w:r>
      <w:hyperlink r:id="rId35" w:anchor="asset:245707@3">
        <w:r w:rsidRPr="00310B84">
          <w:rPr>
            <w:rStyle w:val="Hyperlink"/>
            <w:rFonts w:ascii="Calibri" w:eastAsia="Calibri" w:hAnsi="Calibri" w:cs="Calibri"/>
            <w:lang w:val="en-GB"/>
          </w:rPr>
          <w:t>Horizon Europe Associate Countries</w:t>
        </w:r>
      </w:hyperlink>
      <w:r w:rsidRPr="00310B84">
        <w:rPr>
          <w:rFonts w:ascii="Calibri" w:eastAsia="Calibri" w:hAnsi="Calibri" w:cs="Calibri"/>
          <w:color w:val="000000" w:themeColor="text1"/>
          <w:lang w:val="en-GB"/>
        </w:rPr>
        <w:t xml:space="preserve"> for the 3-year business plan. Legal entities from non- Horizon Europe Associate countries can participate in consortia but are limited to funding of 60 000 over 3 years. This KAVA is implemented under GA 01101912.</w:t>
      </w:r>
    </w:p>
    <w:p w14:paraId="6BB59674" w14:textId="77777777" w:rsidR="00BA6112" w:rsidRPr="004529F0" w:rsidRDefault="00BA6112" w:rsidP="00BA6112">
      <w:pPr>
        <w:rPr>
          <w:rFonts w:ascii="Calibri" w:eastAsia="Calibri" w:hAnsi="Calibri" w:cs="Calibri"/>
          <w:color w:val="000000" w:themeColor="text1"/>
        </w:rPr>
      </w:pPr>
      <w:r w:rsidRPr="49727867">
        <w:t xml:space="preserve">The Subgrant is based on actual costs and value for money.  </w:t>
      </w:r>
      <w:r w:rsidRPr="49727867">
        <w:rPr>
          <w:rFonts w:ascii="Calibri" w:eastAsia="Calibri" w:hAnsi="Calibri" w:cs="Calibri"/>
          <w:color w:val="000000" w:themeColor="text1"/>
        </w:rPr>
        <w:t xml:space="preserve">All costs need to comply with Horizon Europe regulations regarding the eligibility of expenses. Please refer to Article 6 of the </w:t>
      </w:r>
      <w:hyperlink r:id="rId36">
        <w:r w:rsidRPr="49727867">
          <w:rPr>
            <w:rStyle w:val="Hyperlink"/>
            <w:rFonts w:ascii="Calibri" w:eastAsia="Calibri" w:hAnsi="Calibri" w:cs="Calibri"/>
          </w:rPr>
          <w:t>Model Grant Agreement</w:t>
        </w:r>
      </w:hyperlink>
      <w:r w:rsidRPr="49727867">
        <w:rPr>
          <w:rFonts w:ascii="Calibri" w:eastAsia="Calibri" w:hAnsi="Calibri" w:cs="Calibri"/>
          <w:color w:val="000000" w:themeColor="text1"/>
        </w:rPr>
        <w:t xml:space="preserve"> and the </w:t>
      </w:r>
      <w:hyperlink r:id="rId37">
        <w:r w:rsidRPr="49727867">
          <w:rPr>
            <w:rStyle w:val="Hyperlink"/>
            <w:rFonts w:ascii="Calibri" w:eastAsia="Calibri" w:hAnsi="Calibri" w:cs="Calibri"/>
          </w:rPr>
          <w:t>Annotated Model Grant Agreement</w:t>
        </w:r>
      </w:hyperlink>
      <w:r w:rsidRPr="49727867">
        <w:rPr>
          <w:rFonts w:ascii="Calibri" w:eastAsia="Calibri" w:hAnsi="Calibri" w:cs="Calibri"/>
          <w:color w:val="000000" w:themeColor="text1"/>
        </w:rPr>
        <w:t>.</w:t>
      </w:r>
    </w:p>
    <w:p w14:paraId="4C88613F" w14:textId="77777777" w:rsidR="00BE5B35" w:rsidRPr="003D3084" w:rsidRDefault="00BE5B35" w:rsidP="00BE5B35"/>
    <w:p w14:paraId="27079849" w14:textId="4004E4F2" w:rsidR="00BE5B35" w:rsidRPr="003D3084" w:rsidRDefault="00BE5B35" w:rsidP="00BE5B35">
      <w:pPr>
        <w:pStyle w:val="Heading2"/>
        <w:spacing w:after="160"/>
      </w:pPr>
      <w:bookmarkStart w:id="137" w:name="_Toc204209416"/>
      <w:bookmarkStart w:id="138" w:name="_Toc158819757"/>
      <w:r>
        <w:t>8.</w:t>
      </w:r>
      <w:r w:rsidR="00BA6112">
        <w:t>4</w:t>
      </w:r>
      <w:r>
        <w:t xml:space="preserve"> Payment Schedule</w:t>
      </w:r>
      <w:bookmarkEnd w:id="137"/>
      <w:bookmarkEnd w:id="138"/>
    </w:p>
    <w:p w14:paraId="6969FFA9" w14:textId="77777777" w:rsidR="00BE5B35" w:rsidRPr="003D3084" w:rsidRDefault="00BE5B35" w:rsidP="00BE5B35">
      <w:pPr>
        <w:spacing w:after="0"/>
      </w:pPr>
      <w:r w:rsidRPr="00310B84">
        <w:rPr>
          <w:rFonts w:ascii="Calibri" w:eastAsia="Calibri" w:hAnsi="Calibri" w:cs="Calibri"/>
          <w:color w:val="000000" w:themeColor="text1"/>
          <w:lang w:val="en-GB"/>
        </w:rPr>
        <w:t xml:space="preserve">EIT Food will transfer funding in instalments. </w:t>
      </w:r>
      <w:r w:rsidRPr="00310B84">
        <w:rPr>
          <w:rFonts w:ascii="Segoe UI" w:eastAsia="Segoe UI" w:hAnsi="Segoe UI" w:cs="Segoe UI"/>
          <w:color w:val="000000" w:themeColor="text1"/>
          <w:sz w:val="27"/>
          <w:szCs w:val="27"/>
          <w:lang w:val="en-GB"/>
        </w:rPr>
        <w:t xml:space="preserve"> </w:t>
      </w:r>
    </w:p>
    <w:p w14:paraId="2281D9C0" w14:textId="77777777" w:rsidR="00BE5B35" w:rsidRPr="003D3084" w:rsidRDefault="00BE5B35" w:rsidP="00BE5B35">
      <w:pPr>
        <w:spacing w:after="0"/>
      </w:pPr>
      <w:r w:rsidRPr="00310B84">
        <w:rPr>
          <w:rFonts w:ascii="Calibri" w:eastAsia="Calibri" w:hAnsi="Calibri" w:cs="Calibri"/>
          <w:color w:val="000000" w:themeColor="text1"/>
          <w:lang w:val="en-GB"/>
        </w:rPr>
        <w:t xml:space="preserve"> </w:t>
      </w:r>
    </w:p>
    <w:p w14:paraId="6A8B6F0B" w14:textId="77777777" w:rsidR="00BE5B35" w:rsidRPr="003D3084" w:rsidRDefault="00BE5B35" w:rsidP="00BE5B35">
      <w:pPr>
        <w:spacing w:after="0"/>
        <w:rPr>
          <w:rFonts w:ascii="Calibri" w:eastAsia="Calibri" w:hAnsi="Calibri" w:cs="Calibri"/>
          <w:color w:val="000000" w:themeColor="text1"/>
        </w:rPr>
      </w:pPr>
      <w:r w:rsidRPr="35F65D5D">
        <w:rPr>
          <w:rFonts w:ascii="Calibri" w:eastAsia="Calibri" w:hAnsi="Calibri" w:cs="Calibri"/>
          <w:color w:val="000000" w:themeColor="text1"/>
          <w:lang w:val="en-GB"/>
        </w:rPr>
        <w:t xml:space="preserve">A proportion of the funding will be prefinanced. The amount of the prefinanced funding will depend on the category of the participant organisation. </w:t>
      </w:r>
    </w:p>
    <w:p w14:paraId="022FE01A" w14:textId="77777777" w:rsidR="00BE5B35" w:rsidRPr="003D3084" w:rsidRDefault="00BE5B35" w:rsidP="00BE5B35">
      <w:pPr>
        <w:spacing w:after="0"/>
      </w:pPr>
      <w:r w:rsidRPr="00310B84">
        <w:rPr>
          <w:rFonts w:ascii="Calibri" w:eastAsia="Calibri" w:hAnsi="Calibri" w:cs="Calibri"/>
          <w:color w:val="000000" w:themeColor="text1"/>
          <w:lang w:val="en-GB"/>
        </w:rPr>
        <w:t xml:space="preserve"> </w:t>
      </w:r>
    </w:p>
    <w:p w14:paraId="01B4F687" w14:textId="77777777" w:rsidR="00BE5B35" w:rsidRPr="003D3084" w:rsidRDefault="00BE5B35" w:rsidP="00BE5B35">
      <w:pPr>
        <w:spacing w:after="0"/>
      </w:pPr>
      <w:r w:rsidRPr="00310B84">
        <w:rPr>
          <w:rFonts w:ascii="Calibri" w:eastAsia="Calibri" w:hAnsi="Calibri" w:cs="Calibri"/>
          <w:color w:val="000000" w:themeColor="text1"/>
          <w:lang w:val="en-GB"/>
        </w:rPr>
        <w:t xml:space="preserve">Subsequent payments being linked to the completion of deliverables. </w:t>
      </w:r>
      <w:r w:rsidRPr="00310B84">
        <w:rPr>
          <w:rFonts w:ascii="Segoe UI" w:eastAsia="Segoe UI" w:hAnsi="Segoe UI" w:cs="Segoe UI"/>
          <w:color w:val="000000" w:themeColor="text1"/>
          <w:sz w:val="27"/>
          <w:szCs w:val="27"/>
          <w:lang w:val="en-GB"/>
        </w:rPr>
        <w:t xml:space="preserve"> </w:t>
      </w:r>
    </w:p>
    <w:p w14:paraId="16624B8D" w14:textId="77777777" w:rsidR="00BE5B35" w:rsidRPr="003D3084" w:rsidRDefault="00BE5B35" w:rsidP="00BE5B35">
      <w:pPr>
        <w:spacing w:after="0"/>
      </w:pPr>
      <w:r w:rsidRPr="00310B84">
        <w:rPr>
          <w:rFonts w:ascii="Calibri" w:eastAsia="Calibri" w:hAnsi="Calibri" w:cs="Calibri"/>
          <w:color w:val="000000" w:themeColor="text1"/>
          <w:lang w:val="en-GB"/>
        </w:rPr>
        <w:t xml:space="preserve"> </w:t>
      </w:r>
    </w:p>
    <w:p w14:paraId="53F914AB" w14:textId="77777777" w:rsidR="00BE5B35" w:rsidRPr="003D3084" w:rsidRDefault="00BE5B35" w:rsidP="00BE5B35">
      <w:pPr>
        <w:spacing w:after="0"/>
      </w:pPr>
      <w:proofErr w:type="gramStart"/>
      <w:r w:rsidRPr="00310B84">
        <w:rPr>
          <w:rFonts w:ascii="Calibri" w:eastAsia="Calibri" w:hAnsi="Calibri" w:cs="Calibri"/>
          <w:color w:val="000000" w:themeColor="text1"/>
          <w:lang w:val="en-GB"/>
        </w:rPr>
        <w:t>The majority of</w:t>
      </w:r>
      <w:proofErr w:type="gramEnd"/>
      <w:r w:rsidRPr="00310B84">
        <w:rPr>
          <w:rFonts w:ascii="Calibri" w:eastAsia="Calibri" w:hAnsi="Calibri" w:cs="Calibri"/>
          <w:color w:val="000000" w:themeColor="text1"/>
          <w:lang w:val="en-GB"/>
        </w:rPr>
        <w:t xml:space="preserve"> the grant will be transferred at the end, once eligible costs have been determined and contractual obligations have been met. </w:t>
      </w:r>
      <w:r w:rsidRPr="00310B84">
        <w:rPr>
          <w:rFonts w:ascii="Times New Roman" w:eastAsia="Times New Roman" w:hAnsi="Times New Roman" w:cs="Times New Roman"/>
          <w:color w:val="000000" w:themeColor="text1"/>
          <w:sz w:val="24"/>
          <w:szCs w:val="24"/>
          <w:lang w:val="en-GB"/>
        </w:rPr>
        <w:t xml:space="preserve"> </w:t>
      </w:r>
    </w:p>
    <w:p w14:paraId="159ABC09" w14:textId="77777777" w:rsidR="00BE5B35" w:rsidRPr="003D3084" w:rsidRDefault="00BE5B35" w:rsidP="00BE5B35">
      <w:pPr>
        <w:spacing w:after="0"/>
      </w:pPr>
      <w:r w:rsidRPr="00310B84">
        <w:rPr>
          <w:rFonts w:ascii="Calibri" w:eastAsia="Calibri" w:hAnsi="Calibri" w:cs="Calibri"/>
          <w:color w:val="000000" w:themeColor="text1"/>
          <w:lang w:val="en-GB"/>
        </w:rPr>
        <w:t xml:space="preserve"> </w:t>
      </w:r>
    </w:p>
    <w:p w14:paraId="6C2C5359" w14:textId="42B63BA3" w:rsidR="00BE5B35" w:rsidRPr="003D3084" w:rsidRDefault="00BE5B35" w:rsidP="00BE5B35">
      <w:pPr>
        <w:spacing w:after="0"/>
      </w:pPr>
      <w:r w:rsidRPr="00474268">
        <w:rPr>
          <w:rFonts w:ascii="Calibri" w:eastAsia="Calibri" w:hAnsi="Calibri" w:cs="Calibri"/>
          <w:b/>
          <w:bCs/>
          <w:color w:val="242424"/>
          <w:lang w:val="en-GB"/>
        </w:rPr>
        <w:t>Please note:</w:t>
      </w:r>
      <w:r w:rsidRPr="35F65D5D">
        <w:rPr>
          <w:rFonts w:ascii="Calibri" w:eastAsia="Calibri" w:hAnsi="Calibri" w:cs="Calibri"/>
          <w:color w:val="242424"/>
          <w:lang w:val="en-GB"/>
        </w:rPr>
        <w:t xml:space="preserve"> the </w:t>
      </w:r>
      <w:r w:rsidRPr="35F65D5D">
        <w:rPr>
          <w:rFonts w:ascii="Calibri" w:eastAsia="Calibri" w:hAnsi="Calibri" w:cs="Calibri"/>
          <w:color w:val="000000" w:themeColor="text1"/>
          <w:lang w:val="en-GB"/>
        </w:rPr>
        <w:t xml:space="preserve">amount and timing of funding is dependent on the dispersal of funds to EIT Food from the EIT. </w:t>
      </w:r>
      <w:r w:rsidRPr="35F65D5D">
        <w:rPr>
          <w:rFonts w:ascii="Segoe UI" w:eastAsia="Segoe UI" w:hAnsi="Segoe UI" w:cs="Segoe UI"/>
          <w:color w:val="000000" w:themeColor="text1"/>
          <w:sz w:val="27"/>
          <w:szCs w:val="27"/>
          <w:lang w:val="en-GB"/>
        </w:rPr>
        <w:t xml:space="preserve"> </w:t>
      </w:r>
    </w:p>
    <w:p w14:paraId="678DE7EB" w14:textId="77777777" w:rsidR="0019671A" w:rsidRDefault="0019671A" w:rsidP="0019671A">
      <w:pPr>
        <w:spacing w:after="0" w:line="240" w:lineRule="auto"/>
        <w:textAlignment w:val="baseline"/>
        <w:rPr>
          <w:rFonts w:cstheme="minorHAnsi"/>
        </w:rPr>
      </w:pPr>
    </w:p>
    <w:p w14:paraId="36C3AF78" w14:textId="058C044E" w:rsidR="0019671A" w:rsidRDefault="0019671A" w:rsidP="0019671A">
      <w:pPr>
        <w:spacing w:after="0" w:line="240" w:lineRule="auto"/>
        <w:textAlignment w:val="baseline"/>
        <w:rPr>
          <w:rFonts w:eastAsia="Times New Roman" w:cstheme="minorHAnsi"/>
          <w:lang w:val="en-GB" w:eastAsia="en-GB"/>
        </w:rPr>
      </w:pPr>
      <w:r w:rsidRPr="00A73E6C">
        <w:rPr>
          <w:rFonts w:cstheme="minorHAnsi"/>
        </w:rPr>
        <w:t xml:space="preserve">Selected SME’s will receive the funding in two </w:t>
      </w:r>
      <w:r w:rsidRPr="009A2643">
        <w:rPr>
          <w:rFonts w:cstheme="minorHAnsi"/>
        </w:rPr>
        <w:t>pre-financing rounds. The first release of 60% is scheduled upon signature of the sub-grant agreement. The second release of 40% is scheduled upon the successful completion of the project (</w:t>
      </w:r>
      <w:proofErr w:type="gramStart"/>
      <w:r w:rsidRPr="009A2643">
        <w:rPr>
          <w:rFonts w:cstheme="minorHAnsi"/>
        </w:rPr>
        <w:t>i.e.</w:t>
      </w:r>
      <w:proofErr w:type="gramEnd"/>
      <w:r w:rsidRPr="009A2643">
        <w:rPr>
          <w:rFonts w:cstheme="minorHAnsi"/>
        </w:rPr>
        <w:t xml:space="preserve"> sales transaction).</w:t>
      </w:r>
    </w:p>
    <w:p w14:paraId="0C2F7254" w14:textId="77777777" w:rsidR="0019671A" w:rsidRDefault="0019671A" w:rsidP="0019671A">
      <w:pPr>
        <w:spacing w:after="0" w:line="240" w:lineRule="auto"/>
        <w:textAlignment w:val="baseline"/>
        <w:rPr>
          <w:rFonts w:eastAsia="Times New Roman" w:cstheme="minorHAnsi"/>
          <w:lang w:val="en-GB" w:eastAsia="en-GB"/>
        </w:rPr>
      </w:pPr>
    </w:p>
    <w:p w14:paraId="1341AAEE" w14:textId="54B0553D" w:rsidR="0019671A" w:rsidRPr="00A73E6C" w:rsidRDefault="0019671A" w:rsidP="0019671A">
      <w:pPr>
        <w:spacing w:after="0" w:line="240" w:lineRule="auto"/>
        <w:textAlignment w:val="baseline"/>
        <w:rPr>
          <w:rFonts w:cstheme="minorHAnsi"/>
          <w:lang w:val="en-GB"/>
        </w:rPr>
      </w:pPr>
      <w:r w:rsidRPr="00A73E6C">
        <w:rPr>
          <w:rFonts w:eastAsia="Times New Roman" w:cstheme="minorHAnsi"/>
          <w:lang w:val="en-GB" w:eastAsia="en-GB"/>
        </w:rPr>
        <w:t xml:space="preserve">EIT Food puts in place a cashflow friendly pre-financing scheme of two transfers. The first, significant, transfer is </w:t>
      </w:r>
      <w:r w:rsidRPr="009A2643">
        <w:rPr>
          <w:rFonts w:eastAsia="Times New Roman" w:cstheme="minorHAnsi"/>
          <w:lang w:val="en-GB" w:eastAsia="en-GB"/>
        </w:rPr>
        <w:t xml:space="preserve">expected </w:t>
      </w:r>
      <w:r w:rsidR="009151F9" w:rsidRPr="009A2643">
        <w:rPr>
          <w:rFonts w:eastAsia="Times New Roman" w:cstheme="minorHAnsi"/>
          <w:lang w:val="en-GB" w:eastAsia="en-GB"/>
        </w:rPr>
        <w:t>at the start of the project</w:t>
      </w:r>
      <w:r w:rsidRPr="009A2643">
        <w:rPr>
          <w:rFonts w:eastAsia="Times New Roman" w:cstheme="minorHAnsi"/>
          <w:lang w:val="en-GB" w:eastAsia="en-GB"/>
        </w:rPr>
        <w:t xml:space="preserve">. </w:t>
      </w:r>
      <w:r w:rsidRPr="009A2643">
        <w:rPr>
          <w:rFonts w:eastAsia="Times New Roman" w:cstheme="minorHAnsi"/>
          <w:lang w:eastAsia="en-GB"/>
        </w:rPr>
        <w:t>The expenditure and progress on the project plan will be monitored periodically and reported, with a review at the end of the project period to determine if expenditures have been made in line with the cost eligibility criteria.</w:t>
      </w:r>
      <w:r w:rsidRPr="009A2643">
        <w:rPr>
          <w:rFonts w:eastAsia="Times New Roman" w:cstheme="minorHAnsi"/>
          <w:lang w:val="en-GB" w:eastAsia="en-GB"/>
        </w:rPr>
        <w:t> </w:t>
      </w:r>
      <w:r w:rsidRPr="009A2643">
        <w:rPr>
          <w:rFonts w:eastAsia="Times New Roman" w:cstheme="minorHAnsi"/>
          <w:lang w:eastAsia="en-GB"/>
        </w:rPr>
        <w:t xml:space="preserve">The second tranche, the remainder, is </w:t>
      </w:r>
      <w:r w:rsidR="00A942FD" w:rsidRPr="009A2643">
        <w:rPr>
          <w:rFonts w:eastAsia="Times New Roman" w:cstheme="minorHAnsi"/>
          <w:lang w:eastAsia="en-GB"/>
        </w:rPr>
        <w:t>scheduled</w:t>
      </w:r>
      <w:r w:rsidRPr="009A2643">
        <w:rPr>
          <w:rFonts w:eastAsia="Times New Roman" w:cstheme="minorHAnsi"/>
          <w:shd w:val="clear" w:color="auto" w:fill="FFFFFF" w:themeFill="background1"/>
          <w:lang w:eastAsia="en-GB"/>
        </w:rPr>
        <w:t xml:space="preserve"> upo</w:t>
      </w:r>
      <w:r w:rsidRPr="009A2643">
        <w:rPr>
          <w:rFonts w:eastAsia="Times New Roman" w:cstheme="minorHAnsi"/>
          <w:lang w:eastAsia="en-GB"/>
        </w:rPr>
        <w:t>n successful completion of a final report.</w:t>
      </w:r>
    </w:p>
    <w:p w14:paraId="7B86725E" w14:textId="77777777" w:rsidR="00BE5B35" w:rsidRDefault="00BE5B35" w:rsidP="00BE5B35">
      <w:pPr>
        <w:spacing w:after="0"/>
        <w:rPr>
          <w:rFonts w:ascii="Segoe UI" w:eastAsia="Segoe UI" w:hAnsi="Segoe UI" w:cs="Segoe UI"/>
          <w:color w:val="000000" w:themeColor="text1"/>
          <w:sz w:val="27"/>
          <w:szCs w:val="27"/>
        </w:rPr>
      </w:pPr>
    </w:p>
    <w:p w14:paraId="477A98B9" w14:textId="77777777" w:rsidR="0019671A" w:rsidRPr="003D3084" w:rsidRDefault="0019671A" w:rsidP="00BE5B35">
      <w:pPr>
        <w:spacing w:after="0"/>
        <w:rPr>
          <w:rFonts w:ascii="Segoe UI" w:eastAsia="Segoe UI" w:hAnsi="Segoe UI" w:cs="Segoe UI"/>
          <w:color w:val="000000" w:themeColor="text1"/>
          <w:sz w:val="27"/>
          <w:szCs w:val="27"/>
        </w:rPr>
      </w:pPr>
    </w:p>
    <w:p w14:paraId="6FDE75DC" w14:textId="26DD1F94" w:rsidR="00BE5B35" w:rsidRPr="003D3084" w:rsidRDefault="00BE5B35" w:rsidP="00BE5B35">
      <w:pPr>
        <w:pStyle w:val="Heading2"/>
      </w:pPr>
      <w:bookmarkStart w:id="139" w:name="_Toc474366268"/>
      <w:bookmarkStart w:id="140" w:name="_Toc158819758"/>
      <w:r>
        <w:lastRenderedPageBreak/>
        <w:t>8.</w:t>
      </w:r>
      <w:r w:rsidR="00BA6112">
        <w:t>5</w:t>
      </w:r>
      <w:r>
        <w:t xml:space="preserve"> Monitoring</w:t>
      </w:r>
      <w:bookmarkEnd w:id="139"/>
      <w:bookmarkEnd w:id="140"/>
      <w:r>
        <w:t xml:space="preserve"> </w:t>
      </w:r>
    </w:p>
    <w:p w14:paraId="445C608C" w14:textId="4D947CAB" w:rsidR="00BE5B35" w:rsidRPr="002B4039" w:rsidRDefault="00BE5B35" w:rsidP="00BE5B35">
      <w:r>
        <w:t xml:space="preserve">The </w:t>
      </w:r>
      <w:r w:rsidR="00AB462C">
        <w:t xml:space="preserve">Fast Track to Market </w:t>
      </w:r>
      <w:r>
        <w:t xml:space="preserve">project will be monitored </w:t>
      </w:r>
      <w:r w:rsidR="00050C23">
        <w:t xml:space="preserve">regularly </w:t>
      </w:r>
      <w:r>
        <w:t>and may be audited.</w:t>
      </w:r>
    </w:p>
    <w:p w14:paraId="3A1CE405" w14:textId="03F9BBA6" w:rsidR="00996385" w:rsidRPr="00A73E6C" w:rsidRDefault="00996385" w:rsidP="00996385">
      <w:pPr>
        <w:rPr>
          <w:rFonts w:cstheme="minorHAnsi"/>
        </w:rPr>
      </w:pPr>
      <w:r w:rsidRPr="00A73E6C">
        <w:rPr>
          <w:rFonts w:cstheme="minorHAnsi"/>
        </w:rPr>
        <w:t xml:space="preserve">EIT Food monitors projects to ensure that agreed targets are achieved during the </w:t>
      </w:r>
      <w:r w:rsidR="009F697C">
        <w:rPr>
          <w:rFonts w:cstheme="minorHAnsi"/>
        </w:rPr>
        <w:t>10</w:t>
      </w:r>
      <w:r w:rsidRPr="00A73E6C">
        <w:rPr>
          <w:rFonts w:cstheme="minorHAnsi"/>
        </w:rPr>
        <w:t xml:space="preserve"> months’ timeframe.</w:t>
      </w:r>
      <w:r>
        <w:rPr>
          <w:rFonts w:cstheme="minorHAnsi"/>
        </w:rPr>
        <w:t xml:space="preserve"> </w:t>
      </w:r>
      <w:r w:rsidRPr="00A73E6C">
        <w:rPr>
          <w:rFonts w:cstheme="minorHAnsi"/>
        </w:rPr>
        <w:t>Monitoring will take place in two phases:</w:t>
      </w:r>
    </w:p>
    <w:p w14:paraId="0164553C" w14:textId="77777777" w:rsidR="00996385" w:rsidRPr="00A73E6C" w:rsidRDefault="00996385" w:rsidP="00996385">
      <w:pPr>
        <w:pStyle w:val="ListParagraph"/>
        <w:numPr>
          <w:ilvl w:val="0"/>
          <w:numId w:val="7"/>
        </w:numPr>
        <w:rPr>
          <w:rFonts w:cstheme="minorHAnsi"/>
        </w:rPr>
      </w:pPr>
      <w:r w:rsidRPr="00A73E6C">
        <w:rPr>
          <w:rFonts w:cstheme="minorHAnsi"/>
        </w:rPr>
        <w:t xml:space="preserve">During the </w:t>
      </w:r>
      <w:r>
        <w:rPr>
          <w:rFonts w:cstheme="minorHAnsi"/>
        </w:rPr>
        <w:t>funding period</w:t>
      </w:r>
      <w:r w:rsidRPr="00A73E6C">
        <w:rPr>
          <w:rFonts w:cstheme="minorHAnsi"/>
        </w:rPr>
        <w:t xml:space="preserve">  </w:t>
      </w:r>
    </w:p>
    <w:p w14:paraId="012681DE" w14:textId="3F1857C9" w:rsidR="00996385" w:rsidRPr="00A73E6C" w:rsidRDefault="00996385" w:rsidP="00996385">
      <w:pPr>
        <w:rPr>
          <w:rFonts w:cstheme="minorHAnsi"/>
        </w:rPr>
      </w:pPr>
      <w:r w:rsidRPr="00A73E6C">
        <w:rPr>
          <w:rFonts w:cstheme="minorHAnsi"/>
        </w:rPr>
        <w:t xml:space="preserve">The aim is to understand the implementation progress, help the SME mitigate project risks and manage potential delays. </w:t>
      </w:r>
      <w:r w:rsidR="00FA45FC">
        <w:rPr>
          <w:rFonts w:cstheme="minorHAnsi"/>
        </w:rPr>
        <w:t xml:space="preserve">In the case of serious underperformance, </w:t>
      </w:r>
      <w:r w:rsidRPr="00A73E6C">
        <w:rPr>
          <w:rFonts w:cstheme="minorHAnsi"/>
        </w:rPr>
        <w:t xml:space="preserve">EIT Food may decide to re-orient </w:t>
      </w:r>
      <w:r w:rsidR="005D09B4">
        <w:rPr>
          <w:rFonts w:cstheme="minorHAnsi"/>
        </w:rPr>
        <w:t xml:space="preserve">the funding </w:t>
      </w:r>
      <w:r w:rsidRPr="00A73E6C">
        <w:rPr>
          <w:rFonts w:cstheme="minorHAnsi"/>
        </w:rPr>
        <w:t>or stop</w:t>
      </w:r>
      <w:r w:rsidR="0088468B">
        <w:rPr>
          <w:rFonts w:cstheme="minorHAnsi"/>
        </w:rPr>
        <w:t xml:space="preserve"> an</w:t>
      </w:r>
      <w:r w:rsidRPr="00A73E6C">
        <w:rPr>
          <w:rFonts w:cstheme="minorHAnsi"/>
        </w:rPr>
        <w:t xml:space="preserve"> underperforming project.</w:t>
      </w:r>
    </w:p>
    <w:p w14:paraId="3D50D56D" w14:textId="77777777" w:rsidR="00996385" w:rsidRPr="00A73E6C" w:rsidRDefault="00996385" w:rsidP="00996385">
      <w:pPr>
        <w:pStyle w:val="ListParagraph"/>
        <w:numPr>
          <w:ilvl w:val="0"/>
          <w:numId w:val="7"/>
        </w:numPr>
        <w:rPr>
          <w:rFonts w:cstheme="minorHAnsi"/>
        </w:rPr>
      </w:pPr>
      <w:r w:rsidRPr="00A73E6C">
        <w:rPr>
          <w:rFonts w:cstheme="minorHAnsi"/>
        </w:rPr>
        <w:t xml:space="preserve">After the </w:t>
      </w:r>
      <w:r>
        <w:rPr>
          <w:rFonts w:cstheme="minorHAnsi"/>
        </w:rPr>
        <w:t>funding period</w:t>
      </w:r>
      <w:r w:rsidRPr="00A73E6C">
        <w:rPr>
          <w:rFonts w:cstheme="minorHAnsi"/>
        </w:rPr>
        <w:t xml:space="preserve">  </w:t>
      </w:r>
    </w:p>
    <w:p w14:paraId="61188947" w14:textId="33A85523" w:rsidR="00996385" w:rsidRPr="00A73E6C" w:rsidRDefault="00996385" w:rsidP="00996385">
      <w:pPr>
        <w:rPr>
          <w:rFonts w:cstheme="minorHAnsi"/>
        </w:rPr>
      </w:pPr>
      <w:r w:rsidRPr="00A73E6C">
        <w:rPr>
          <w:rFonts w:cstheme="minorHAnsi"/>
        </w:rPr>
        <w:t xml:space="preserve">Additionally, EIT Food will monitor SMEs after their </w:t>
      </w:r>
      <w:r w:rsidR="00A8310D">
        <w:rPr>
          <w:rFonts w:cstheme="minorHAnsi"/>
        </w:rPr>
        <w:t>funding</w:t>
      </w:r>
      <w:r w:rsidRPr="00A73E6C">
        <w:rPr>
          <w:rFonts w:cstheme="minorHAnsi"/>
        </w:rPr>
        <w:t xml:space="preserve"> period to track long-term societal impact and ensure the repayment terms and abilities</w:t>
      </w:r>
      <w:r w:rsidR="00445399">
        <w:rPr>
          <w:rFonts w:cstheme="minorHAnsi"/>
        </w:rPr>
        <w:t xml:space="preserve"> to repay</w:t>
      </w:r>
      <w:r w:rsidR="00A8310D">
        <w:rPr>
          <w:rFonts w:cstheme="minorHAnsi"/>
        </w:rPr>
        <w:t xml:space="preserve"> as agreed in the </w:t>
      </w:r>
      <w:r w:rsidR="00A8310D" w:rsidRPr="00A8310D">
        <w:t>Revenue-based financial return agreement</w:t>
      </w:r>
      <w:r w:rsidRPr="00A73E6C">
        <w:rPr>
          <w:rFonts w:cstheme="minorHAnsi"/>
        </w:rPr>
        <w:t>.</w:t>
      </w:r>
    </w:p>
    <w:p w14:paraId="26F0BCCB" w14:textId="77777777" w:rsidR="00BE5B35" w:rsidRDefault="00BE5B35" w:rsidP="00BE5B35"/>
    <w:p w14:paraId="7C877ABB" w14:textId="32C05916" w:rsidR="00BE5B35" w:rsidRDefault="009442A9" w:rsidP="00BE5B35">
      <w:pPr>
        <w:pStyle w:val="Heading2"/>
      </w:pPr>
      <w:bookmarkStart w:id="141" w:name="_Toc900806819"/>
      <w:bookmarkStart w:id="142" w:name="_Toc158819759"/>
      <w:r>
        <w:t>8</w:t>
      </w:r>
      <w:r w:rsidR="00BE5B35">
        <w:t>.</w:t>
      </w:r>
      <w:r w:rsidR="00BA6112">
        <w:t>6</w:t>
      </w:r>
      <w:r w:rsidR="00BE5B35">
        <w:t xml:space="preserve"> Support</w:t>
      </w:r>
      <w:bookmarkEnd w:id="141"/>
      <w:bookmarkEnd w:id="142"/>
    </w:p>
    <w:p w14:paraId="747C409B" w14:textId="27AEB263" w:rsidR="00BE5B35" w:rsidRDefault="00BE5B35" w:rsidP="00BE5B35">
      <w:r>
        <w:t xml:space="preserve">If you have any questions about this Request for Implementing Participants, please contact </w:t>
      </w:r>
      <w:hyperlink r:id="rId38" w:history="1">
        <w:r w:rsidR="00996385" w:rsidRPr="00F6552E">
          <w:rPr>
            <w:rStyle w:val="Hyperlink"/>
          </w:rPr>
          <w:t>fasttrackcall@eitfood.eu</w:t>
        </w:r>
      </w:hyperlink>
      <w:r w:rsidR="00996385">
        <w:t xml:space="preserve">. </w:t>
      </w:r>
    </w:p>
    <w:p w14:paraId="5DC77112" w14:textId="2BC53096" w:rsidR="00BE5B35" w:rsidRDefault="00BE5B35" w:rsidP="00BE5B35">
      <w:r>
        <w:t xml:space="preserve">Please visit </w:t>
      </w:r>
      <w:hyperlink r:id="rId39" w:history="1">
        <w:r w:rsidRPr="001A15F3">
          <w:rPr>
            <w:rStyle w:val="Hyperlink"/>
          </w:rPr>
          <w:t>our website</w:t>
        </w:r>
      </w:hyperlink>
      <w:r>
        <w:t xml:space="preserve"> for information about upcoming events to support your application.  You will also find our list of </w:t>
      </w:r>
      <w:r w:rsidRPr="001A15F3">
        <w:t>Frequently Asked Questions.</w:t>
      </w:r>
      <w:r>
        <w:t xml:space="preserve">  </w:t>
      </w:r>
    </w:p>
    <w:p w14:paraId="381EE1D8" w14:textId="77777777" w:rsidR="004570D1" w:rsidRDefault="004570D1" w:rsidP="00AC65DE">
      <w:pPr>
        <w:rPr>
          <w:rFonts w:cstheme="minorHAnsi"/>
        </w:rPr>
      </w:pPr>
      <w:bookmarkStart w:id="143" w:name="_Hlk79656366"/>
      <w:bookmarkEnd w:id="130"/>
    </w:p>
    <w:p w14:paraId="65B8C43B" w14:textId="77777777" w:rsidR="0000793F" w:rsidRDefault="0000793F">
      <w:pPr>
        <w:rPr>
          <w:rFonts w:asciiTheme="majorHAnsi" w:eastAsiaTheme="majorEastAsia" w:hAnsiTheme="majorHAnsi" w:cstheme="majorBidi"/>
          <w:color w:val="2F5496" w:themeColor="accent1" w:themeShade="BF"/>
          <w:sz w:val="32"/>
          <w:szCs w:val="32"/>
        </w:rPr>
      </w:pPr>
      <w:r>
        <w:br w:type="page"/>
      </w:r>
    </w:p>
    <w:p w14:paraId="3A39E632" w14:textId="434EA247" w:rsidR="004570D1" w:rsidRDefault="004570D1" w:rsidP="004570D1">
      <w:pPr>
        <w:pStyle w:val="Heading1"/>
      </w:pPr>
      <w:bookmarkStart w:id="144" w:name="_Toc158819760"/>
      <w:r w:rsidRPr="3C78F24C">
        <w:lastRenderedPageBreak/>
        <w:t>ANNEX 1</w:t>
      </w:r>
      <w:r w:rsidR="00291B8D">
        <w:t>:</w:t>
      </w:r>
      <w:r w:rsidRPr="3C78F24C">
        <w:t xml:space="preserve"> Eligibility</w:t>
      </w:r>
      <w:bookmarkEnd w:id="144"/>
    </w:p>
    <w:p w14:paraId="0D9D8218" w14:textId="77777777" w:rsidR="004570D1" w:rsidRDefault="004570D1" w:rsidP="004570D1">
      <w:pPr>
        <w:spacing w:line="257" w:lineRule="auto"/>
        <w:jc w:val="both"/>
        <w:rPr>
          <w:rFonts w:ascii="Calibri" w:eastAsia="Calibri" w:hAnsi="Calibri" w:cs="Calibri"/>
          <w:color w:val="000000" w:themeColor="text1"/>
        </w:rPr>
      </w:pPr>
    </w:p>
    <w:p w14:paraId="5A40D9B7" w14:textId="0268E81E"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Please Note: </w:t>
      </w:r>
    </w:p>
    <w:p w14:paraId="04ED1B40"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1. Failing any of the above criteria will make your application ineligible. If an applicant is ineligible, the participant will be informed. </w:t>
      </w:r>
    </w:p>
    <w:p w14:paraId="173B0A98"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2. According to EU policies and measures, Russian entities will not be authorised to participate in any new grant under the EU Research and Innovation programmes. This ban applies not only to their potential participation as beneficiaries, but to their potential participation in any kind of role: beneficiaries, linked third parties/affiliated entities, subcontractors, in-kind contributors, international partners/associated partners, and third parties receiving financial support. Find the full statement from the European Commission here. </w:t>
      </w:r>
    </w:p>
    <w:p w14:paraId="4F12205E"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lang w:val="en-IE"/>
        </w:rPr>
        <w:t xml:space="preserve">3. Pursuant to Article 2 (2) of the Decision 2022/2506 of 15 December 2022 on measures for the protection of the Union budget against breaches of the principles of the rule of law in Hungary </w:t>
      </w:r>
      <w:r w:rsidRPr="3C78F24C">
        <w:rPr>
          <w:rFonts w:ascii="Calibri" w:eastAsia="Calibri" w:hAnsi="Calibri" w:cs="Calibri"/>
          <w:i/>
          <w:iCs/>
          <w:color w:val="000000" w:themeColor="text1"/>
          <w:lang w:val="en-IE"/>
        </w:rPr>
        <w:t xml:space="preserve">where the Commission implements the Union budget in direct or indirect management pursuant to of Article 62(1) points (a) and (c), of Regulation (EU, Euratom) 2018/1046, </w:t>
      </w:r>
      <w:r w:rsidRPr="3C78F24C">
        <w:rPr>
          <w:rFonts w:ascii="Calibri" w:eastAsia="Calibri" w:hAnsi="Calibri" w:cs="Calibri"/>
          <w:b/>
          <w:bCs/>
          <w:i/>
          <w:iCs/>
          <w:color w:val="000000" w:themeColor="text1"/>
          <w:lang w:val="en-IE"/>
        </w:rPr>
        <w:t>no legal commitments shall be entered into with any public interest trust established on the basis of the Hungarian Act IX of 2021 or any entity maintained by such a public interest trust</w:t>
      </w:r>
      <w:r w:rsidRPr="3C78F24C">
        <w:rPr>
          <w:rFonts w:ascii="Calibri" w:eastAsia="Calibri" w:hAnsi="Calibri" w:cs="Calibri"/>
          <w:i/>
          <w:iCs/>
          <w:color w:val="000000" w:themeColor="text1"/>
          <w:lang w:val="en-IE"/>
        </w:rPr>
        <w:t xml:space="preserve">. </w:t>
      </w:r>
      <w:r w:rsidRPr="3C78F24C">
        <w:rPr>
          <w:rFonts w:ascii="Calibri" w:eastAsia="Calibri" w:hAnsi="Calibri" w:cs="Calibri"/>
          <w:color w:val="000000" w:themeColor="text1"/>
          <w:lang w:val="en-IE"/>
        </w:rPr>
        <w:t>This prohibition applies to financial support to third parties (sub-grants and prizes), hence the proposal of any entity or group of entities where a Participant is included in the list of public interest trusts shall be considered as not eligible.</w:t>
      </w:r>
    </w:p>
    <w:p w14:paraId="05708401"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4. Applicants will be deemed ineligible if: </w:t>
      </w:r>
    </w:p>
    <w:p w14:paraId="4884C346"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a.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8443504"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 b. it has been established by a final judgment or a final administrative decision that the organisation is in breach of its obligations relating to the payment of taxes or social security contributions in accordance with the applicable law;</w:t>
      </w:r>
    </w:p>
    <w:p w14:paraId="5BB29319"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 c. it has been established by a final judgment or a final administrative decision that the organisation is guilty of grave professional misconduct by having violated applicable laws or regulations or ethical standards of the profession to which the organisation belongs, or by having engaged in any wrongful conduct which has an impact on its professional credibility where such conduct denotes a wrongful intent or gross negligence; </w:t>
      </w:r>
    </w:p>
    <w:p w14:paraId="6CC20C35"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d. is found to be attempting to influence the decision-making process of the call during the process; </w:t>
      </w:r>
    </w:p>
    <w:p w14:paraId="6B5B3D32" w14:textId="77777777"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e. attempting to obtain confidential information that may confer upon </w:t>
      </w:r>
      <w:proofErr w:type="gramStart"/>
      <w:r w:rsidRPr="3C78F24C">
        <w:rPr>
          <w:rFonts w:ascii="Calibri" w:eastAsia="Calibri" w:hAnsi="Calibri" w:cs="Calibri"/>
          <w:color w:val="000000" w:themeColor="text1"/>
        </w:rPr>
        <w:t>it</w:t>
      </w:r>
      <w:proofErr w:type="gramEnd"/>
      <w:r w:rsidRPr="3C78F24C">
        <w:rPr>
          <w:rFonts w:ascii="Calibri" w:eastAsia="Calibri" w:hAnsi="Calibri" w:cs="Calibri"/>
          <w:color w:val="000000" w:themeColor="text1"/>
        </w:rPr>
        <w:t xml:space="preserve"> undue advantages in the call process;</w:t>
      </w:r>
    </w:p>
    <w:p w14:paraId="26478F64" w14:textId="2C8068F6" w:rsidR="004570D1" w:rsidRDefault="004570D1" w:rsidP="004570D1">
      <w:pPr>
        <w:spacing w:line="257" w:lineRule="auto"/>
        <w:jc w:val="both"/>
        <w:rPr>
          <w:rFonts w:ascii="Calibri" w:eastAsia="Calibri" w:hAnsi="Calibri" w:cs="Calibri"/>
          <w:color w:val="000000" w:themeColor="text1"/>
        </w:rPr>
      </w:pPr>
      <w:r w:rsidRPr="3C78F24C">
        <w:rPr>
          <w:rFonts w:ascii="Calibri" w:eastAsia="Calibri" w:hAnsi="Calibri" w:cs="Calibri"/>
          <w:color w:val="000000" w:themeColor="text1"/>
        </w:rPr>
        <w:t xml:space="preserve"> f. it has been established by a final judgment that the organisation is guilty of fraud, </w:t>
      </w:r>
      <w:proofErr w:type="gramStart"/>
      <w:r w:rsidRPr="3C78F24C">
        <w:rPr>
          <w:rFonts w:ascii="Calibri" w:eastAsia="Calibri" w:hAnsi="Calibri" w:cs="Calibri"/>
          <w:color w:val="000000" w:themeColor="text1"/>
        </w:rPr>
        <w:t>corruption</w:t>
      </w:r>
      <w:proofErr w:type="gramEnd"/>
      <w:r w:rsidRPr="3C78F24C">
        <w:rPr>
          <w:rFonts w:ascii="Calibri" w:eastAsia="Calibri" w:hAnsi="Calibri" w:cs="Calibri"/>
          <w:color w:val="000000" w:themeColor="text1"/>
        </w:rPr>
        <w:t xml:space="preserve"> or money laundering.</w:t>
      </w:r>
    </w:p>
    <w:p w14:paraId="55476667" w14:textId="2F3070BC" w:rsidR="007F4C05" w:rsidRDefault="007F4C05">
      <w:pPr>
        <w:rPr>
          <w:rFonts w:ascii="Calibri" w:eastAsia="Calibri" w:hAnsi="Calibri" w:cs="Calibri"/>
          <w:color w:val="000000" w:themeColor="text1"/>
        </w:rPr>
      </w:pPr>
      <w:r>
        <w:rPr>
          <w:rFonts w:ascii="Calibri" w:eastAsia="Calibri" w:hAnsi="Calibri" w:cs="Calibri"/>
          <w:color w:val="000000" w:themeColor="text1"/>
        </w:rPr>
        <w:br w:type="page"/>
      </w:r>
    </w:p>
    <w:p w14:paraId="1A6ED211" w14:textId="04FEF1AA" w:rsidR="007F4C05" w:rsidRPr="001D1AB8" w:rsidRDefault="007F4C05" w:rsidP="007F4C05">
      <w:pPr>
        <w:pStyle w:val="Heading1"/>
      </w:pPr>
      <w:bookmarkStart w:id="145" w:name="_Toc57151771"/>
      <w:bookmarkStart w:id="146" w:name="_Toc158819761"/>
      <w:r w:rsidRPr="001D1AB8">
        <w:lastRenderedPageBreak/>
        <w:t xml:space="preserve">Annex </w:t>
      </w:r>
      <w:r>
        <w:t>2</w:t>
      </w:r>
      <w:r w:rsidRPr="001D1AB8">
        <w:t>: Redress mechanism</w:t>
      </w:r>
      <w:bookmarkEnd w:id="145"/>
      <w:bookmarkEnd w:id="146"/>
    </w:p>
    <w:p w14:paraId="287D9A84" w14:textId="77777777" w:rsidR="007F4C05" w:rsidRPr="001D1AB8" w:rsidRDefault="007F4C05" w:rsidP="007F4C05">
      <w:pPr>
        <w:pStyle w:val="Body"/>
        <w:rPr>
          <w:noProof w:val="0"/>
          <w:highlight w:val="yellow"/>
        </w:rPr>
      </w:pPr>
      <w:r w:rsidRPr="001D1AB8">
        <w:rPr>
          <w:noProof w:val="0"/>
        </w:rPr>
        <w:t xml:space="preserve">In case proposers have concerns that there have been procedural shortcomings and/or factual errors in the evaluation of their proposal, they can seek a review of the evaluation procedure through the redress mechanism. It should be noted that this mechanism is not meant to call into question the judgement made by the expert review panel. </w:t>
      </w:r>
    </w:p>
    <w:p w14:paraId="759D773E" w14:textId="77777777" w:rsidR="007F4C05" w:rsidRPr="001D1AB8" w:rsidRDefault="007F4C05" w:rsidP="007F4C05">
      <w:r w:rsidRPr="001D1AB8">
        <w:t xml:space="preserve">Upon receipt of the Evaluation Summary Report, the Activity Leader of the proposal (or a representative of their organisation) may request an evaluation review, if there is an indication that the results of the eligibility checks were incorrect or that there has been a procedural shortcoming or a manifest error of assessment. </w:t>
      </w:r>
    </w:p>
    <w:p w14:paraId="34F475B1" w14:textId="77777777" w:rsidR="007F4C05" w:rsidRPr="001D1AB8" w:rsidRDefault="007F4C05" w:rsidP="007F4C05">
      <w:r>
        <w:t xml:space="preserve">The request for an evaluation review </w:t>
      </w:r>
      <w:r w:rsidRPr="001D1AB8">
        <w:t>through the redress mechanism</w:t>
      </w:r>
      <w:r>
        <w:t xml:space="preserve"> </w:t>
      </w:r>
      <w:r w:rsidRPr="001D1AB8">
        <w:t xml:space="preserve">can be made if the Activity Leader considers that the assessment of the eligibility and/or evaluation of their proposal has not been carried out in accordance with the procedures set out in this evaluation procedure and the Call for Proposals document. The deadline to launch a complaint is 30 days from the date of receiving the Evaluation Summary Report. </w:t>
      </w:r>
    </w:p>
    <w:p w14:paraId="2153DDFF" w14:textId="77777777" w:rsidR="007F4C05" w:rsidRPr="001D1AB8" w:rsidRDefault="007F4C05" w:rsidP="007F4C05">
      <w:r w:rsidRPr="001D1AB8">
        <w:t>Complaints</w:t>
      </w:r>
      <w:r>
        <w:t xml:space="preserve"> </w:t>
      </w:r>
      <w:r w:rsidRPr="001D1AB8">
        <w:t xml:space="preserve">must be: </w:t>
      </w:r>
    </w:p>
    <w:p w14:paraId="2978392F" w14:textId="77777777" w:rsidR="007F4C05" w:rsidRPr="001D1AB8" w:rsidRDefault="007F4C05" w:rsidP="007F4C05">
      <w:pPr>
        <w:pStyle w:val="ListParagraph"/>
        <w:numPr>
          <w:ilvl w:val="0"/>
          <w:numId w:val="25"/>
        </w:numPr>
        <w:spacing w:after="120" w:line="240" w:lineRule="auto"/>
        <w:ind w:left="284" w:hanging="284"/>
        <w:jc w:val="both"/>
      </w:pPr>
      <w:r w:rsidRPr="001D1AB8">
        <w:t xml:space="preserve">related to the evaluation process, or eligibility checks, for the proposal in question; </w:t>
      </w:r>
    </w:p>
    <w:p w14:paraId="043686BC" w14:textId="77777777" w:rsidR="007F4C05" w:rsidRPr="001D1AB8" w:rsidRDefault="007F4C05" w:rsidP="007F4C05">
      <w:pPr>
        <w:pStyle w:val="ListParagraph"/>
        <w:numPr>
          <w:ilvl w:val="0"/>
          <w:numId w:val="25"/>
        </w:numPr>
        <w:spacing w:after="120" w:line="240" w:lineRule="auto"/>
        <w:ind w:left="284" w:hanging="284"/>
        <w:jc w:val="both"/>
      </w:pPr>
      <w:r w:rsidRPr="001D1AB8">
        <w:t xml:space="preserve">set out a clear description of the grounds for complaint; </w:t>
      </w:r>
    </w:p>
    <w:p w14:paraId="3ADB98CA" w14:textId="77777777" w:rsidR="007F4C05" w:rsidRPr="001D1AB8" w:rsidRDefault="007F4C05" w:rsidP="007F4C05">
      <w:pPr>
        <w:pStyle w:val="ListParagraph"/>
        <w:numPr>
          <w:ilvl w:val="0"/>
          <w:numId w:val="25"/>
        </w:numPr>
        <w:spacing w:after="120" w:line="240" w:lineRule="auto"/>
        <w:ind w:left="284" w:hanging="284"/>
        <w:jc w:val="both"/>
      </w:pPr>
      <w:r w:rsidRPr="001D1AB8">
        <w:t xml:space="preserve">received within the time limit specified in the information letter; </w:t>
      </w:r>
    </w:p>
    <w:p w14:paraId="15814398" w14:textId="77777777" w:rsidR="007F4C05" w:rsidRPr="001D1AB8" w:rsidRDefault="007F4C05" w:rsidP="007F4C05">
      <w:pPr>
        <w:pStyle w:val="ListParagraph"/>
        <w:numPr>
          <w:ilvl w:val="0"/>
          <w:numId w:val="25"/>
        </w:numPr>
        <w:spacing w:after="120" w:line="240" w:lineRule="auto"/>
        <w:ind w:left="284" w:hanging="284"/>
        <w:jc w:val="both"/>
      </w:pPr>
      <w:r w:rsidRPr="001D1AB8">
        <w:t>sent by the Activity Leader or a representative of their organisation;</w:t>
      </w:r>
    </w:p>
    <w:p w14:paraId="1B0AD944" w14:textId="77777777" w:rsidR="007F4C05" w:rsidRPr="001D1AB8" w:rsidRDefault="007F4C05" w:rsidP="007F4C05">
      <w:pPr>
        <w:pStyle w:val="ListParagraph"/>
        <w:numPr>
          <w:ilvl w:val="0"/>
          <w:numId w:val="25"/>
        </w:numPr>
        <w:spacing w:after="120" w:line="240" w:lineRule="auto"/>
        <w:ind w:left="284" w:hanging="284"/>
        <w:jc w:val="both"/>
      </w:pPr>
      <w:r w:rsidRPr="001D1AB8">
        <w:t xml:space="preserve">sent to EIT Food’s </w:t>
      </w:r>
      <w:r>
        <w:t>Innovation Director Adam Adamek: adam.adamek@eitfood.eu</w:t>
      </w:r>
      <w:r w:rsidRPr="001D1AB8">
        <w:t xml:space="preserve">. </w:t>
      </w:r>
    </w:p>
    <w:p w14:paraId="0A3DBE47" w14:textId="77777777" w:rsidR="007F4C05" w:rsidRPr="001D1AB8" w:rsidRDefault="007F4C05" w:rsidP="007F4C05">
      <w:r w:rsidRPr="001D1AB8">
        <w:t xml:space="preserve">An acknowledgment of receipt will be sent to complainants no later than one week after the deadline for submitting the complaint. This acknowledgement of receipt will indicate the estimated date of a definitive reply. </w:t>
      </w:r>
    </w:p>
    <w:p w14:paraId="7DB96296" w14:textId="348A41FF" w:rsidR="007F4C05" w:rsidRDefault="007F4C05" w:rsidP="007F4C05">
      <w:r>
        <w:t xml:space="preserve">The relevant EIT Food staff will internally review the grounds of the complaint and only in case that there are solid indications and evidence that the </w:t>
      </w:r>
      <w:r w:rsidRPr="001D1AB8">
        <w:t>results of the eligibility checks were incorrect or that a procedural shortcoming or a manifest error of assessment</w:t>
      </w:r>
      <w:r>
        <w:t xml:space="preserve"> has occurred, EIT Food will convene a redress committee</w:t>
      </w:r>
      <w:r w:rsidRPr="001D1AB8">
        <w:t xml:space="preserve">. </w:t>
      </w:r>
      <w:r>
        <w:t xml:space="preserve">In case that the relevant EIT Food staff considers that the grounds of the complaint don’t show enough evidence that </w:t>
      </w:r>
      <w:r w:rsidRPr="001D1AB8">
        <w:t xml:space="preserve">eligibility checks </w:t>
      </w:r>
      <w:r>
        <w:t>have been</w:t>
      </w:r>
      <w:r w:rsidRPr="001D1AB8">
        <w:t xml:space="preserve"> incorrect or that there has been a procedural shortcoming or a manifest error of assessment</w:t>
      </w:r>
      <w:r>
        <w:t xml:space="preserve">, a reasoned written response will be send to the </w:t>
      </w:r>
      <w:r w:rsidRPr="001D1AB8">
        <w:t>complainant</w:t>
      </w:r>
      <w:r>
        <w:t xml:space="preserve"> will be send with the grounds of refusal of the convenience of the redress </w:t>
      </w:r>
      <w:r w:rsidR="001054FE">
        <w:t>committee</w:t>
      </w:r>
      <w:r>
        <w:t xml:space="preserve">. </w:t>
      </w:r>
    </w:p>
    <w:p w14:paraId="4C08088E" w14:textId="77777777" w:rsidR="007F4C05" w:rsidRPr="001D1AB8" w:rsidRDefault="007F4C05" w:rsidP="007F4C05">
      <w:r>
        <w:t xml:space="preserve">The </w:t>
      </w:r>
      <w:r w:rsidRPr="001D1AB8">
        <w:t xml:space="preserve">redress committee </w:t>
      </w:r>
      <w:r>
        <w:t>will</w:t>
      </w:r>
      <w:r w:rsidRPr="001D1AB8">
        <w:t xml:space="preserve"> examine the eligibility or evaluation process for the complaint. The redress committee will bring together relevant staff of EIT Food and will be chaired by Andy Zynga, EIT Food CEO. The committee’s role is to ensure a coherent interpretation of requests, and fair and equal treatment of applicants. During the evaluation review procedure, the committee itself, however, does not re-evaluate the proposal. Depending on the nature of the complaint, the committee may review the evaluation report, the individual comments and examine the CVs of the experts. </w:t>
      </w:r>
      <w:r w:rsidRPr="001D1AB8">
        <w:rPr>
          <w:bCs/>
          <w:color w:val="034EA8"/>
        </w:rPr>
        <w:t xml:space="preserve">The committee will not call into question the judgement of appropriately qualified panels of experts. </w:t>
      </w:r>
      <w:r w:rsidRPr="001D1AB8">
        <w:t xml:space="preserve">In the light of its review, the committee will recommend a course of action. If there is clear evidence of a shortcoming that could affect the eventual funding decision, it is possible that all or part of the proposal will be re-evaluated. </w:t>
      </w:r>
    </w:p>
    <w:p w14:paraId="6B3D175C" w14:textId="77777777" w:rsidR="007F4C05" w:rsidRPr="001D1AB8" w:rsidRDefault="007F4C05" w:rsidP="007F4C05">
      <w:r w:rsidRPr="001D1AB8">
        <w:t xml:space="preserve">Please note: </w:t>
      </w:r>
    </w:p>
    <w:p w14:paraId="21B61438" w14:textId="77777777" w:rsidR="007F4C05" w:rsidRPr="001D1AB8" w:rsidRDefault="007F4C05" w:rsidP="007F4C05">
      <w:pPr>
        <w:pStyle w:val="ListParagraph"/>
        <w:numPr>
          <w:ilvl w:val="0"/>
          <w:numId w:val="26"/>
        </w:numPr>
        <w:spacing w:after="120" w:line="240" w:lineRule="auto"/>
        <w:ind w:left="284" w:hanging="284"/>
        <w:jc w:val="both"/>
      </w:pPr>
      <w:r w:rsidRPr="001D1AB8">
        <w:t xml:space="preserve">a re-evaluation will only be carried out if there is evidence of a shortcoming that affects the quality assessment of a proposal. This means, for example, that a problem relating to one evaluation criterion will not lead to a re-evaluation if a proposal has failed anyway on other criteria; </w:t>
      </w:r>
    </w:p>
    <w:p w14:paraId="61325C1E" w14:textId="77777777" w:rsidR="007F4C05" w:rsidRPr="001D1AB8" w:rsidRDefault="007F4C05" w:rsidP="007F4C05">
      <w:pPr>
        <w:pStyle w:val="ListParagraph"/>
        <w:numPr>
          <w:ilvl w:val="0"/>
          <w:numId w:val="26"/>
        </w:numPr>
        <w:spacing w:after="120" w:line="240" w:lineRule="auto"/>
        <w:ind w:left="284" w:hanging="284"/>
        <w:jc w:val="both"/>
      </w:pPr>
      <w:r w:rsidRPr="001D1AB8">
        <w:t xml:space="preserve">the evaluation score following any re-evaluation will be regarded as definitive. It may be lower than the original score; </w:t>
      </w:r>
    </w:p>
    <w:p w14:paraId="6404D871" w14:textId="77777777" w:rsidR="007F4C05" w:rsidRPr="001D1AB8" w:rsidRDefault="007F4C05" w:rsidP="007F4C05">
      <w:pPr>
        <w:pStyle w:val="ListParagraph"/>
        <w:numPr>
          <w:ilvl w:val="0"/>
          <w:numId w:val="26"/>
        </w:numPr>
        <w:spacing w:after="120" w:line="240" w:lineRule="auto"/>
        <w:ind w:left="284" w:hanging="284"/>
        <w:jc w:val="both"/>
      </w:pPr>
      <w:r w:rsidRPr="001D1AB8">
        <w:t xml:space="preserve">only one request for evaluation review per proposal will be considered by the committee; </w:t>
      </w:r>
    </w:p>
    <w:p w14:paraId="6E2B0A4D" w14:textId="1B379C3C" w:rsidR="00F26EF9" w:rsidRPr="007F4C05" w:rsidRDefault="007F4C05" w:rsidP="00AC65DE">
      <w:pPr>
        <w:pStyle w:val="ListParagraph"/>
        <w:numPr>
          <w:ilvl w:val="0"/>
          <w:numId w:val="26"/>
        </w:numPr>
        <w:spacing w:after="120" w:line="240" w:lineRule="auto"/>
        <w:ind w:left="284" w:hanging="284"/>
        <w:jc w:val="both"/>
      </w:pPr>
      <w:r w:rsidRPr="001D1AB8">
        <w:t>all requests for evaluation review will be treated in confidence.</w:t>
      </w:r>
      <w:bookmarkEnd w:id="0"/>
      <w:bookmarkEnd w:id="143"/>
    </w:p>
    <w:sectPr w:rsidR="00F26EF9" w:rsidRPr="007F4C05" w:rsidSect="007B299B">
      <w:footerReference w:type="even" r:id="rId40"/>
      <w:footerReference w:type="default" r:id="rId41"/>
      <w:footerReference w:type="first" r:id="rId42"/>
      <w:pgSz w:w="11907" w:h="16839" w:code="9"/>
      <w:pgMar w:top="1170" w:right="1135" w:bottom="1276" w:left="709"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3879A" w14:textId="77777777" w:rsidR="00C7254A" w:rsidRDefault="00C7254A" w:rsidP="00F26EF9">
      <w:pPr>
        <w:spacing w:after="0" w:line="240" w:lineRule="auto"/>
      </w:pPr>
      <w:r>
        <w:separator/>
      </w:r>
    </w:p>
  </w:endnote>
  <w:endnote w:type="continuationSeparator" w:id="0">
    <w:p w14:paraId="42D6A007" w14:textId="77777777" w:rsidR="00C7254A" w:rsidRDefault="00C7254A" w:rsidP="00F26EF9">
      <w:pPr>
        <w:spacing w:after="0" w:line="240" w:lineRule="auto"/>
      </w:pPr>
      <w:r>
        <w:continuationSeparator/>
      </w:r>
    </w:p>
  </w:endnote>
  <w:endnote w:type="continuationNotice" w:id="1">
    <w:p w14:paraId="4CBC1D1C" w14:textId="77777777" w:rsidR="00C7254A" w:rsidRDefault="00C72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9672140"/>
      <w:docPartObj>
        <w:docPartGallery w:val="Page Numbers (Bottom of Page)"/>
        <w:docPartUnique/>
      </w:docPartObj>
    </w:sdtPr>
    <w:sdtContent>
      <w:p w14:paraId="2CAADC9C" w14:textId="316FCD29" w:rsidR="00A7430E" w:rsidRDefault="00A7430E" w:rsidP="007B29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AB767" w14:textId="77777777" w:rsidR="00A7430E" w:rsidRDefault="00A7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935162"/>
      <w:docPartObj>
        <w:docPartGallery w:val="Page Numbers (Bottom of Page)"/>
        <w:docPartUnique/>
      </w:docPartObj>
    </w:sdtPr>
    <w:sdtContent>
      <w:p w14:paraId="34692CD4" w14:textId="062CE88B" w:rsidR="00A7430E" w:rsidRDefault="00A7430E" w:rsidP="007B29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97C4E4" w14:textId="77777777" w:rsidR="00A7430E" w:rsidRDefault="00A74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B0D0" w14:textId="77777777" w:rsidR="009826BA" w:rsidRPr="0014371E" w:rsidRDefault="009826BA" w:rsidP="007B299B">
    <w:pPr>
      <w:pStyle w:val="PgNumber"/>
      <w:spacing w:after="0"/>
      <w:rPr>
        <w:rFonts w:cstheme="minorHAnsi"/>
        <w:color w:val="auto"/>
      </w:rPr>
    </w:pPr>
  </w:p>
  <w:p w14:paraId="29F4D3E9" w14:textId="77777777" w:rsidR="009826BA" w:rsidRDefault="0098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2277" w14:textId="77777777" w:rsidR="00C7254A" w:rsidRDefault="00C7254A" w:rsidP="00F26EF9">
      <w:pPr>
        <w:spacing w:after="0" w:line="240" w:lineRule="auto"/>
      </w:pPr>
      <w:r>
        <w:separator/>
      </w:r>
    </w:p>
  </w:footnote>
  <w:footnote w:type="continuationSeparator" w:id="0">
    <w:p w14:paraId="7FD5AC3D" w14:textId="77777777" w:rsidR="00C7254A" w:rsidRDefault="00C7254A" w:rsidP="00F26EF9">
      <w:pPr>
        <w:spacing w:after="0" w:line="240" w:lineRule="auto"/>
      </w:pPr>
      <w:r>
        <w:continuationSeparator/>
      </w:r>
    </w:p>
  </w:footnote>
  <w:footnote w:type="continuationNotice" w:id="1">
    <w:p w14:paraId="2DD0A673" w14:textId="77777777" w:rsidR="00C7254A" w:rsidRDefault="00C7254A">
      <w:pPr>
        <w:spacing w:after="0" w:line="240" w:lineRule="auto"/>
      </w:pPr>
    </w:p>
  </w:footnote>
  <w:footnote w:id="2">
    <w:p w14:paraId="579BC146" w14:textId="77777777" w:rsidR="00111CBE" w:rsidRPr="00C759DD" w:rsidRDefault="00111CBE" w:rsidP="00111CBE">
      <w:pPr>
        <w:pStyle w:val="FootnoteText"/>
        <w:rPr>
          <w:lang w:val="en-GB"/>
        </w:rPr>
      </w:pPr>
      <w:r>
        <w:rPr>
          <w:rStyle w:val="FootnoteReference"/>
        </w:rPr>
        <w:footnoteRef/>
      </w:r>
      <w:r>
        <w:t xml:space="preserve"> The</w:t>
      </w:r>
      <w:r w:rsidRPr="00C759DD">
        <w:t xml:space="preserve"> legal </w:t>
      </w:r>
      <w:proofErr w:type="gramStart"/>
      <w:r w:rsidRPr="00C759DD">
        <w:t>entity</w:t>
      </w:r>
      <w:proofErr w:type="gramEnd"/>
      <w:r w:rsidRPr="00C759DD">
        <w:t xml:space="preserve"> which is a Partner in EIT Food, and may participate in Funded activities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A4A"/>
    <w:multiLevelType w:val="hybridMultilevel"/>
    <w:tmpl w:val="0D4EA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7027E"/>
    <w:multiLevelType w:val="hybridMultilevel"/>
    <w:tmpl w:val="C4EA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4655"/>
    <w:multiLevelType w:val="hybridMultilevel"/>
    <w:tmpl w:val="423A1D16"/>
    <w:lvl w:ilvl="0" w:tplc="3746EE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7F30"/>
    <w:multiLevelType w:val="hybridMultilevel"/>
    <w:tmpl w:val="552A96F0"/>
    <w:lvl w:ilvl="0" w:tplc="FC8E8CF6">
      <w:start w:val="1"/>
      <w:numFmt w:val="bullet"/>
      <w:pStyle w:val="BulletLevel2"/>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AD17E92"/>
    <w:multiLevelType w:val="hybridMultilevel"/>
    <w:tmpl w:val="72EA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2978"/>
    <w:multiLevelType w:val="hybridMultilevel"/>
    <w:tmpl w:val="13A890D0"/>
    <w:lvl w:ilvl="0" w:tplc="19763920">
      <w:start w:val="1"/>
      <w:numFmt w:val="upperLetter"/>
      <w:lvlText w:val="%1."/>
      <w:lvlJc w:val="left"/>
      <w:pPr>
        <w:ind w:left="720" w:hanging="360"/>
      </w:pPr>
    </w:lvl>
    <w:lvl w:ilvl="1" w:tplc="D2FA62CC">
      <w:start w:val="1"/>
      <w:numFmt w:val="lowerLetter"/>
      <w:lvlText w:val="%2."/>
      <w:lvlJc w:val="left"/>
      <w:pPr>
        <w:ind w:left="1440" w:hanging="360"/>
      </w:pPr>
    </w:lvl>
    <w:lvl w:ilvl="2" w:tplc="87928A04">
      <w:start w:val="1"/>
      <w:numFmt w:val="lowerRoman"/>
      <w:lvlText w:val="%3."/>
      <w:lvlJc w:val="right"/>
      <w:pPr>
        <w:ind w:left="2160" w:hanging="180"/>
      </w:pPr>
    </w:lvl>
    <w:lvl w:ilvl="3" w:tplc="3032370E">
      <w:start w:val="1"/>
      <w:numFmt w:val="decimal"/>
      <w:lvlText w:val="%4."/>
      <w:lvlJc w:val="left"/>
      <w:pPr>
        <w:ind w:left="2880" w:hanging="360"/>
      </w:pPr>
    </w:lvl>
    <w:lvl w:ilvl="4" w:tplc="A3267C54">
      <w:start w:val="1"/>
      <w:numFmt w:val="lowerLetter"/>
      <w:lvlText w:val="%5."/>
      <w:lvlJc w:val="left"/>
      <w:pPr>
        <w:ind w:left="3600" w:hanging="360"/>
      </w:pPr>
    </w:lvl>
    <w:lvl w:ilvl="5" w:tplc="4060352A">
      <w:start w:val="1"/>
      <w:numFmt w:val="lowerRoman"/>
      <w:lvlText w:val="%6."/>
      <w:lvlJc w:val="right"/>
      <w:pPr>
        <w:ind w:left="4320" w:hanging="180"/>
      </w:pPr>
    </w:lvl>
    <w:lvl w:ilvl="6" w:tplc="1662EB98">
      <w:start w:val="1"/>
      <w:numFmt w:val="decimal"/>
      <w:lvlText w:val="%7."/>
      <w:lvlJc w:val="left"/>
      <w:pPr>
        <w:ind w:left="5040" w:hanging="360"/>
      </w:pPr>
    </w:lvl>
    <w:lvl w:ilvl="7" w:tplc="D77EA302">
      <w:start w:val="1"/>
      <w:numFmt w:val="lowerLetter"/>
      <w:lvlText w:val="%8."/>
      <w:lvlJc w:val="left"/>
      <w:pPr>
        <w:ind w:left="5760" w:hanging="360"/>
      </w:pPr>
    </w:lvl>
    <w:lvl w:ilvl="8" w:tplc="0A440FEE">
      <w:start w:val="1"/>
      <w:numFmt w:val="lowerRoman"/>
      <w:lvlText w:val="%9."/>
      <w:lvlJc w:val="right"/>
      <w:pPr>
        <w:ind w:left="6480" w:hanging="180"/>
      </w:pPr>
    </w:lvl>
  </w:abstractNum>
  <w:abstractNum w:abstractNumId="6" w15:restartNumberingAfterBreak="0">
    <w:nsid w:val="27D71E3B"/>
    <w:multiLevelType w:val="multilevel"/>
    <w:tmpl w:val="AF0292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323615"/>
    <w:multiLevelType w:val="multilevel"/>
    <w:tmpl w:val="071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80206"/>
    <w:multiLevelType w:val="multilevel"/>
    <w:tmpl w:val="854A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C12E2"/>
    <w:multiLevelType w:val="hybridMultilevel"/>
    <w:tmpl w:val="1B6EC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8C3768"/>
    <w:multiLevelType w:val="hybridMultilevel"/>
    <w:tmpl w:val="C1C2C9E2"/>
    <w:lvl w:ilvl="0" w:tplc="5ED6CA82">
      <w:start w:val="1"/>
      <w:numFmt w:val="bullet"/>
      <w:pStyle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D27D9"/>
    <w:multiLevelType w:val="hybridMultilevel"/>
    <w:tmpl w:val="E45E9D0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37507"/>
    <w:multiLevelType w:val="hybridMultilevel"/>
    <w:tmpl w:val="A53C7B8E"/>
    <w:lvl w:ilvl="0" w:tplc="D3EEF220">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B2AE0"/>
    <w:multiLevelType w:val="hybridMultilevel"/>
    <w:tmpl w:val="678826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27968C5"/>
    <w:multiLevelType w:val="hybridMultilevel"/>
    <w:tmpl w:val="37E00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BF572E"/>
    <w:multiLevelType w:val="hybridMultilevel"/>
    <w:tmpl w:val="A754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8331C"/>
    <w:multiLevelType w:val="multilevel"/>
    <w:tmpl w:val="0FB2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10447"/>
    <w:multiLevelType w:val="multilevel"/>
    <w:tmpl w:val="8C16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A3CEE"/>
    <w:multiLevelType w:val="hybridMultilevel"/>
    <w:tmpl w:val="D03400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254B90"/>
    <w:multiLevelType w:val="hybridMultilevel"/>
    <w:tmpl w:val="226C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01357"/>
    <w:multiLevelType w:val="hybridMultilevel"/>
    <w:tmpl w:val="4B4047D2"/>
    <w:lvl w:ilvl="0" w:tplc="922C1D70">
      <w:start w:val="1"/>
      <w:numFmt w:val="bullet"/>
      <w:pStyle w:val="BulletLevel1"/>
      <w:lvlText w:val=""/>
      <w:lvlJc w:val="left"/>
      <w:pPr>
        <w:ind w:left="720" w:hanging="360"/>
      </w:pPr>
      <w:rPr>
        <w:rFonts w:ascii="Wingdings" w:hAnsi="Wingdings" w:hint="default"/>
        <w:color w:val="657C9C" w:themeColor="text2"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75C4"/>
    <w:multiLevelType w:val="hybridMultilevel"/>
    <w:tmpl w:val="74E6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F7E95"/>
    <w:multiLevelType w:val="hybridMultilevel"/>
    <w:tmpl w:val="518CBCB6"/>
    <w:styleLink w:val="LFO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DCA354D"/>
    <w:multiLevelType w:val="hybridMultilevel"/>
    <w:tmpl w:val="196CB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760EF1"/>
    <w:multiLevelType w:val="hybridMultilevel"/>
    <w:tmpl w:val="BA9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431F5"/>
    <w:multiLevelType w:val="hybridMultilevel"/>
    <w:tmpl w:val="A808D2C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780111A0"/>
    <w:multiLevelType w:val="hybridMultilevel"/>
    <w:tmpl w:val="B3E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682075">
    <w:abstractNumId w:val="3"/>
  </w:num>
  <w:num w:numId="2" w16cid:durableId="675306999">
    <w:abstractNumId w:val="20"/>
  </w:num>
  <w:num w:numId="3" w16cid:durableId="746726382">
    <w:abstractNumId w:val="10"/>
  </w:num>
  <w:num w:numId="4" w16cid:durableId="457378725">
    <w:abstractNumId w:val="22"/>
  </w:num>
  <w:num w:numId="5" w16cid:durableId="1593199287">
    <w:abstractNumId w:val="12"/>
  </w:num>
  <w:num w:numId="6" w16cid:durableId="1816681899">
    <w:abstractNumId w:val="9"/>
  </w:num>
  <w:num w:numId="7" w16cid:durableId="1407650724">
    <w:abstractNumId w:val="14"/>
  </w:num>
  <w:num w:numId="8" w16cid:durableId="1553618973">
    <w:abstractNumId w:val="0"/>
  </w:num>
  <w:num w:numId="9" w16cid:durableId="1171527196">
    <w:abstractNumId w:val="19"/>
  </w:num>
  <w:num w:numId="10" w16cid:durableId="343016355">
    <w:abstractNumId w:val="6"/>
  </w:num>
  <w:num w:numId="11" w16cid:durableId="642540880">
    <w:abstractNumId w:val="1"/>
  </w:num>
  <w:num w:numId="12" w16cid:durableId="1768425453">
    <w:abstractNumId w:val="11"/>
  </w:num>
  <w:num w:numId="13" w16cid:durableId="449669233">
    <w:abstractNumId w:val="24"/>
  </w:num>
  <w:num w:numId="14" w16cid:durableId="620578563">
    <w:abstractNumId w:val="26"/>
  </w:num>
  <w:num w:numId="15" w16cid:durableId="828717076">
    <w:abstractNumId w:val="2"/>
  </w:num>
  <w:num w:numId="16" w16cid:durableId="484904425">
    <w:abstractNumId w:val="15"/>
  </w:num>
  <w:num w:numId="17" w16cid:durableId="1666980716">
    <w:abstractNumId w:val="4"/>
  </w:num>
  <w:num w:numId="18" w16cid:durableId="562299716">
    <w:abstractNumId w:val="21"/>
  </w:num>
  <w:num w:numId="19" w16cid:durableId="1029453438">
    <w:abstractNumId w:val="7"/>
  </w:num>
  <w:num w:numId="20" w16cid:durableId="970750320">
    <w:abstractNumId w:val="16"/>
  </w:num>
  <w:num w:numId="21" w16cid:durableId="454298086">
    <w:abstractNumId w:val="17"/>
  </w:num>
  <w:num w:numId="22" w16cid:durableId="1916360752">
    <w:abstractNumId w:val="8"/>
  </w:num>
  <w:num w:numId="23" w16cid:durableId="1056276344">
    <w:abstractNumId w:val="23"/>
  </w:num>
  <w:num w:numId="24" w16cid:durableId="1181967346">
    <w:abstractNumId w:val="5"/>
  </w:num>
  <w:num w:numId="25" w16cid:durableId="1150712802">
    <w:abstractNumId w:val="13"/>
  </w:num>
  <w:num w:numId="26" w16cid:durableId="1637686644">
    <w:abstractNumId w:val="25"/>
  </w:num>
  <w:num w:numId="27" w16cid:durableId="106499138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F9"/>
    <w:rsid w:val="00000462"/>
    <w:rsid w:val="000029EF"/>
    <w:rsid w:val="00003E80"/>
    <w:rsid w:val="00006856"/>
    <w:rsid w:val="000069BE"/>
    <w:rsid w:val="0000793F"/>
    <w:rsid w:val="00007C7E"/>
    <w:rsid w:val="00010015"/>
    <w:rsid w:val="0001188C"/>
    <w:rsid w:val="000135E3"/>
    <w:rsid w:val="00013F22"/>
    <w:rsid w:val="00016487"/>
    <w:rsid w:val="000165D7"/>
    <w:rsid w:val="0001662F"/>
    <w:rsid w:val="00017F23"/>
    <w:rsid w:val="00020BC2"/>
    <w:rsid w:val="000241C9"/>
    <w:rsid w:val="000244D2"/>
    <w:rsid w:val="00025A8E"/>
    <w:rsid w:val="00033111"/>
    <w:rsid w:val="0003742B"/>
    <w:rsid w:val="00037CBA"/>
    <w:rsid w:val="000417AE"/>
    <w:rsid w:val="000434F4"/>
    <w:rsid w:val="000450BB"/>
    <w:rsid w:val="00050C23"/>
    <w:rsid w:val="00051B17"/>
    <w:rsid w:val="00051D8C"/>
    <w:rsid w:val="00052802"/>
    <w:rsid w:val="0005518D"/>
    <w:rsid w:val="00065E61"/>
    <w:rsid w:val="00067845"/>
    <w:rsid w:val="0007022D"/>
    <w:rsid w:val="00070616"/>
    <w:rsid w:val="000706D6"/>
    <w:rsid w:val="00073D5F"/>
    <w:rsid w:val="0007488A"/>
    <w:rsid w:val="00076722"/>
    <w:rsid w:val="00076B3A"/>
    <w:rsid w:val="00076D12"/>
    <w:rsid w:val="00077ED6"/>
    <w:rsid w:val="000819B6"/>
    <w:rsid w:val="00081EB8"/>
    <w:rsid w:val="000823E6"/>
    <w:rsid w:val="00084213"/>
    <w:rsid w:val="000844FB"/>
    <w:rsid w:val="00084DDB"/>
    <w:rsid w:val="00086E36"/>
    <w:rsid w:val="0009221A"/>
    <w:rsid w:val="000931F1"/>
    <w:rsid w:val="0009415E"/>
    <w:rsid w:val="00096A2E"/>
    <w:rsid w:val="000A3983"/>
    <w:rsid w:val="000A40D6"/>
    <w:rsid w:val="000A4135"/>
    <w:rsid w:val="000A5E85"/>
    <w:rsid w:val="000B24CB"/>
    <w:rsid w:val="000B2F8B"/>
    <w:rsid w:val="000B33D2"/>
    <w:rsid w:val="000B370E"/>
    <w:rsid w:val="000B4706"/>
    <w:rsid w:val="000B5BF6"/>
    <w:rsid w:val="000B7514"/>
    <w:rsid w:val="000C0683"/>
    <w:rsid w:val="000C2E24"/>
    <w:rsid w:val="000C3A45"/>
    <w:rsid w:val="000C5C3C"/>
    <w:rsid w:val="000C623A"/>
    <w:rsid w:val="000C75A8"/>
    <w:rsid w:val="000D0B77"/>
    <w:rsid w:val="000D1CFD"/>
    <w:rsid w:val="000D48CE"/>
    <w:rsid w:val="000D7F7A"/>
    <w:rsid w:val="000E00F4"/>
    <w:rsid w:val="000E1143"/>
    <w:rsid w:val="000E167B"/>
    <w:rsid w:val="000E40A8"/>
    <w:rsid w:val="000E439F"/>
    <w:rsid w:val="000E5F0C"/>
    <w:rsid w:val="000E7683"/>
    <w:rsid w:val="000E79E9"/>
    <w:rsid w:val="000F083D"/>
    <w:rsid w:val="000F11D7"/>
    <w:rsid w:val="000F2EA2"/>
    <w:rsid w:val="000F5E3F"/>
    <w:rsid w:val="000F6F2B"/>
    <w:rsid w:val="00100A88"/>
    <w:rsid w:val="00103449"/>
    <w:rsid w:val="0010546B"/>
    <w:rsid w:val="001054FE"/>
    <w:rsid w:val="00106C60"/>
    <w:rsid w:val="00110B9D"/>
    <w:rsid w:val="001118DC"/>
    <w:rsid w:val="00111C5E"/>
    <w:rsid w:val="00111CBE"/>
    <w:rsid w:val="00113414"/>
    <w:rsid w:val="00114109"/>
    <w:rsid w:val="0011533B"/>
    <w:rsid w:val="00117040"/>
    <w:rsid w:val="001177CE"/>
    <w:rsid w:val="0012043F"/>
    <w:rsid w:val="001206B6"/>
    <w:rsid w:val="00123611"/>
    <w:rsid w:val="00124356"/>
    <w:rsid w:val="00125049"/>
    <w:rsid w:val="00125A8C"/>
    <w:rsid w:val="0013041F"/>
    <w:rsid w:val="001312F8"/>
    <w:rsid w:val="0013277D"/>
    <w:rsid w:val="00132B6C"/>
    <w:rsid w:val="00133C81"/>
    <w:rsid w:val="00134AEE"/>
    <w:rsid w:val="0013525A"/>
    <w:rsid w:val="00137194"/>
    <w:rsid w:val="001373D4"/>
    <w:rsid w:val="00137688"/>
    <w:rsid w:val="00141C9E"/>
    <w:rsid w:val="001430A6"/>
    <w:rsid w:val="00144C44"/>
    <w:rsid w:val="001465F8"/>
    <w:rsid w:val="00146BCC"/>
    <w:rsid w:val="00147CAC"/>
    <w:rsid w:val="00150556"/>
    <w:rsid w:val="0015081F"/>
    <w:rsid w:val="001509EC"/>
    <w:rsid w:val="0015443A"/>
    <w:rsid w:val="001567D3"/>
    <w:rsid w:val="0016014E"/>
    <w:rsid w:val="00160454"/>
    <w:rsid w:val="00163F21"/>
    <w:rsid w:val="0016555D"/>
    <w:rsid w:val="00165765"/>
    <w:rsid w:val="001670E5"/>
    <w:rsid w:val="00167FDB"/>
    <w:rsid w:val="00171066"/>
    <w:rsid w:val="001710E7"/>
    <w:rsid w:val="001721D4"/>
    <w:rsid w:val="0017468B"/>
    <w:rsid w:val="0017473E"/>
    <w:rsid w:val="00176620"/>
    <w:rsid w:val="00180C38"/>
    <w:rsid w:val="00181281"/>
    <w:rsid w:val="00183110"/>
    <w:rsid w:val="00183AD7"/>
    <w:rsid w:val="00185E93"/>
    <w:rsid w:val="00186AB4"/>
    <w:rsid w:val="00186D06"/>
    <w:rsid w:val="00186D57"/>
    <w:rsid w:val="001877A9"/>
    <w:rsid w:val="00187A35"/>
    <w:rsid w:val="00190CAB"/>
    <w:rsid w:val="001913FE"/>
    <w:rsid w:val="00191782"/>
    <w:rsid w:val="00191D74"/>
    <w:rsid w:val="0019671A"/>
    <w:rsid w:val="001A15F3"/>
    <w:rsid w:val="001A2018"/>
    <w:rsid w:val="001A3318"/>
    <w:rsid w:val="001A593F"/>
    <w:rsid w:val="001A61C2"/>
    <w:rsid w:val="001A7D82"/>
    <w:rsid w:val="001B0547"/>
    <w:rsid w:val="001B13C3"/>
    <w:rsid w:val="001B20C5"/>
    <w:rsid w:val="001B4514"/>
    <w:rsid w:val="001B4B35"/>
    <w:rsid w:val="001B501A"/>
    <w:rsid w:val="001B7D1A"/>
    <w:rsid w:val="001C3B31"/>
    <w:rsid w:val="001C74B3"/>
    <w:rsid w:val="001D0E1E"/>
    <w:rsid w:val="001D1029"/>
    <w:rsid w:val="001D18BF"/>
    <w:rsid w:val="001D1E9A"/>
    <w:rsid w:val="001D23F4"/>
    <w:rsid w:val="001D49B7"/>
    <w:rsid w:val="001D4AFF"/>
    <w:rsid w:val="001D4DC0"/>
    <w:rsid w:val="001E0944"/>
    <w:rsid w:val="001E0A05"/>
    <w:rsid w:val="001E2CE5"/>
    <w:rsid w:val="001E4781"/>
    <w:rsid w:val="001E4785"/>
    <w:rsid w:val="001E4FD9"/>
    <w:rsid w:val="001F0B13"/>
    <w:rsid w:val="001F0C3F"/>
    <w:rsid w:val="001F1123"/>
    <w:rsid w:val="001F2873"/>
    <w:rsid w:val="001F508C"/>
    <w:rsid w:val="001F5DE1"/>
    <w:rsid w:val="001F71DF"/>
    <w:rsid w:val="00200A3B"/>
    <w:rsid w:val="00200AE6"/>
    <w:rsid w:val="00200E37"/>
    <w:rsid w:val="0020380A"/>
    <w:rsid w:val="0020411F"/>
    <w:rsid w:val="00206194"/>
    <w:rsid w:val="002100BA"/>
    <w:rsid w:val="00211279"/>
    <w:rsid w:val="002127AC"/>
    <w:rsid w:val="00213187"/>
    <w:rsid w:val="00213A4D"/>
    <w:rsid w:val="0021596D"/>
    <w:rsid w:val="00217C7D"/>
    <w:rsid w:val="00217F90"/>
    <w:rsid w:val="0022165C"/>
    <w:rsid w:val="00223177"/>
    <w:rsid w:val="0022503F"/>
    <w:rsid w:val="0022558B"/>
    <w:rsid w:val="00225EB0"/>
    <w:rsid w:val="00227C4F"/>
    <w:rsid w:val="002313A0"/>
    <w:rsid w:val="002328B6"/>
    <w:rsid w:val="00232AE6"/>
    <w:rsid w:val="00234C56"/>
    <w:rsid w:val="00234E83"/>
    <w:rsid w:val="00236361"/>
    <w:rsid w:val="002372DC"/>
    <w:rsid w:val="002373F2"/>
    <w:rsid w:val="00237F0F"/>
    <w:rsid w:val="00240988"/>
    <w:rsid w:val="002413FC"/>
    <w:rsid w:val="0024180D"/>
    <w:rsid w:val="0024189F"/>
    <w:rsid w:val="00241C59"/>
    <w:rsid w:val="0024269F"/>
    <w:rsid w:val="0024280F"/>
    <w:rsid w:val="00242BA7"/>
    <w:rsid w:val="00242F6F"/>
    <w:rsid w:val="00243F00"/>
    <w:rsid w:val="00246339"/>
    <w:rsid w:val="00247E9C"/>
    <w:rsid w:val="002507F9"/>
    <w:rsid w:val="00253173"/>
    <w:rsid w:val="00253DAB"/>
    <w:rsid w:val="002566F6"/>
    <w:rsid w:val="00257227"/>
    <w:rsid w:val="00257653"/>
    <w:rsid w:val="00260099"/>
    <w:rsid w:val="00260E7C"/>
    <w:rsid w:val="00262B40"/>
    <w:rsid w:val="00262CFC"/>
    <w:rsid w:val="002658B5"/>
    <w:rsid w:val="0026776B"/>
    <w:rsid w:val="00267D85"/>
    <w:rsid w:val="00274C6E"/>
    <w:rsid w:val="00274E0D"/>
    <w:rsid w:val="00276AAE"/>
    <w:rsid w:val="00277546"/>
    <w:rsid w:val="00277EFB"/>
    <w:rsid w:val="0028512F"/>
    <w:rsid w:val="002852A6"/>
    <w:rsid w:val="00285F12"/>
    <w:rsid w:val="0028627E"/>
    <w:rsid w:val="00286297"/>
    <w:rsid w:val="00287022"/>
    <w:rsid w:val="002903AB"/>
    <w:rsid w:val="00291B8D"/>
    <w:rsid w:val="0029317D"/>
    <w:rsid w:val="0029468F"/>
    <w:rsid w:val="00295A02"/>
    <w:rsid w:val="00295CC3"/>
    <w:rsid w:val="00296440"/>
    <w:rsid w:val="002A1AF0"/>
    <w:rsid w:val="002A232A"/>
    <w:rsid w:val="002A4462"/>
    <w:rsid w:val="002A50F6"/>
    <w:rsid w:val="002A5578"/>
    <w:rsid w:val="002A5A4C"/>
    <w:rsid w:val="002A5F7C"/>
    <w:rsid w:val="002B3FC4"/>
    <w:rsid w:val="002C21D2"/>
    <w:rsid w:val="002C2C8C"/>
    <w:rsid w:val="002C36A5"/>
    <w:rsid w:val="002C48F3"/>
    <w:rsid w:val="002C4CD8"/>
    <w:rsid w:val="002D0013"/>
    <w:rsid w:val="002D0FC4"/>
    <w:rsid w:val="002D2F20"/>
    <w:rsid w:val="002D4D28"/>
    <w:rsid w:val="002D5E60"/>
    <w:rsid w:val="002D62DF"/>
    <w:rsid w:val="002E19CF"/>
    <w:rsid w:val="002E4368"/>
    <w:rsid w:val="002E7A4F"/>
    <w:rsid w:val="002F147D"/>
    <w:rsid w:val="002F34E3"/>
    <w:rsid w:val="002F3F1A"/>
    <w:rsid w:val="00301B2B"/>
    <w:rsid w:val="00302A16"/>
    <w:rsid w:val="003062E0"/>
    <w:rsid w:val="0030762B"/>
    <w:rsid w:val="003102AA"/>
    <w:rsid w:val="00310BC1"/>
    <w:rsid w:val="00310E5D"/>
    <w:rsid w:val="00311523"/>
    <w:rsid w:val="00311A8E"/>
    <w:rsid w:val="003165C0"/>
    <w:rsid w:val="00317629"/>
    <w:rsid w:val="00320522"/>
    <w:rsid w:val="003212CC"/>
    <w:rsid w:val="003213D9"/>
    <w:rsid w:val="003247AE"/>
    <w:rsid w:val="00325998"/>
    <w:rsid w:val="003263A3"/>
    <w:rsid w:val="0032783E"/>
    <w:rsid w:val="003309B8"/>
    <w:rsid w:val="00331BB9"/>
    <w:rsid w:val="003342DB"/>
    <w:rsid w:val="00334594"/>
    <w:rsid w:val="003352D0"/>
    <w:rsid w:val="00335F82"/>
    <w:rsid w:val="00336908"/>
    <w:rsid w:val="003371BE"/>
    <w:rsid w:val="00340A6A"/>
    <w:rsid w:val="003428B3"/>
    <w:rsid w:val="00345F92"/>
    <w:rsid w:val="00347303"/>
    <w:rsid w:val="00347438"/>
    <w:rsid w:val="00347710"/>
    <w:rsid w:val="00352819"/>
    <w:rsid w:val="00352C7A"/>
    <w:rsid w:val="00353445"/>
    <w:rsid w:val="00353D65"/>
    <w:rsid w:val="00354299"/>
    <w:rsid w:val="003547E0"/>
    <w:rsid w:val="003568E8"/>
    <w:rsid w:val="003572D3"/>
    <w:rsid w:val="00357653"/>
    <w:rsid w:val="00357CFC"/>
    <w:rsid w:val="00360259"/>
    <w:rsid w:val="00360A68"/>
    <w:rsid w:val="00360E2D"/>
    <w:rsid w:val="00361939"/>
    <w:rsid w:val="00361F86"/>
    <w:rsid w:val="003623FF"/>
    <w:rsid w:val="00362406"/>
    <w:rsid w:val="003659C0"/>
    <w:rsid w:val="003664CC"/>
    <w:rsid w:val="00367D17"/>
    <w:rsid w:val="0037054E"/>
    <w:rsid w:val="00371C16"/>
    <w:rsid w:val="00371E7D"/>
    <w:rsid w:val="003724EE"/>
    <w:rsid w:val="003733E7"/>
    <w:rsid w:val="00375E1E"/>
    <w:rsid w:val="003776DF"/>
    <w:rsid w:val="00380449"/>
    <w:rsid w:val="00381F7B"/>
    <w:rsid w:val="0038232C"/>
    <w:rsid w:val="00382877"/>
    <w:rsid w:val="003842B8"/>
    <w:rsid w:val="0038521B"/>
    <w:rsid w:val="00386088"/>
    <w:rsid w:val="00386129"/>
    <w:rsid w:val="003868F0"/>
    <w:rsid w:val="00387DFD"/>
    <w:rsid w:val="003919F6"/>
    <w:rsid w:val="003930AE"/>
    <w:rsid w:val="00393422"/>
    <w:rsid w:val="00393E30"/>
    <w:rsid w:val="003946BF"/>
    <w:rsid w:val="00394720"/>
    <w:rsid w:val="00395A55"/>
    <w:rsid w:val="003A07CB"/>
    <w:rsid w:val="003A126E"/>
    <w:rsid w:val="003A1E6E"/>
    <w:rsid w:val="003A2CC4"/>
    <w:rsid w:val="003A3948"/>
    <w:rsid w:val="003A42D4"/>
    <w:rsid w:val="003A4DAC"/>
    <w:rsid w:val="003A50EF"/>
    <w:rsid w:val="003A57F9"/>
    <w:rsid w:val="003A72E7"/>
    <w:rsid w:val="003B5693"/>
    <w:rsid w:val="003C1076"/>
    <w:rsid w:val="003C14DA"/>
    <w:rsid w:val="003C2105"/>
    <w:rsid w:val="003C4BBF"/>
    <w:rsid w:val="003C4CCB"/>
    <w:rsid w:val="003C5AC5"/>
    <w:rsid w:val="003C6DED"/>
    <w:rsid w:val="003C7036"/>
    <w:rsid w:val="003C7C84"/>
    <w:rsid w:val="003D096E"/>
    <w:rsid w:val="003D131F"/>
    <w:rsid w:val="003D1E54"/>
    <w:rsid w:val="003D41B8"/>
    <w:rsid w:val="003D5D1E"/>
    <w:rsid w:val="003D6BB0"/>
    <w:rsid w:val="003D6EA6"/>
    <w:rsid w:val="003E1582"/>
    <w:rsid w:val="003E24C0"/>
    <w:rsid w:val="003E254F"/>
    <w:rsid w:val="003E3A73"/>
    <w:rsid w:val="003E5078"/>
    <w:rsid w:val="003E5C46"/>
    <w:rsid w:val="003E6A5B"/>
    <w:rsid w:val="003F0FEC"/>
    <w:rsid w:val="003F1F3E"/>
    <w:rsid w:val="003F2E1A"/>
    <w:rsid w:val="003F3AFF"/>
    <w:rsid w:val="0040059B"/>
    <w:rsid w:val="00402789"/>
    <w:rsid w:val="00402A83"/>
    <w:rsid w:val="00404338"/>
    <w:rsid w:val="0040585C"/>
    <w:rsid w:val="0040647C"/>
    <w:rsid w:val="00407060"/>
    <w:rsid w:val="00411C54"/>
    <w:rsid w:val="004129DA"/>
    <w:rsid w:val="004132DB"/>
    <w:rsid w:val="00414172"/>
    <w:rsid w:val="00414A2A"/>
    <w:rsid w:val="00415346"/>
    <w:rsid w:val="0041687C"/>
    <w:rsid w:val="00417EA7"/>
    <w:rsid w:val="00420D50"/>
    <w:rsid w:val="00421061"/>
    <w:rsid w:val="00421BA0"/>
    <w:rsid w:val="004222D5"/>
    <w:rsid w:val="00422895"/>
    <w:rsid w:val="00422FFF"/>
    <w:rsid w:val="00431262"/>
    <w:rsid w:val="0043151D"/>
    <w:rsid w:val="00431A1A"/>
    <w:rsid w:val="00431D49"/>
    <w:rsid w:val="00431D75"/>
    <w:rsid w:val="00432135"/>
    <w:rsid w:val="00432876"/>
    <w:rsid w:val="00435138"/>
    <w:rsid w:val="00435712"/>
    <w:rsid w:val="00436463"/>
    <w:rsid w:val="00436CB1"/>
    <w:rsid w:val="004419E6"/>
    <w:rsid w:val="00441BC5"/>
    <w:rsid w:val="004437D2"/>
    <w:rsid w:val="00443B21"/>
    <w:rsid w:val="004446D0"/>
    <w:rsid w:val="00445399"/>
    <w:rsid w:val="0044723B"/>
    <w:rsid w:val="00452439"/>
    <w:rsid w:val="004529F0"/>
    <w:rsid w:val="00453760"/>
    <w:rsid w:val="00455659"/>
    <w:rsid w:val="004570D1"/>
    <w:rsid w:val="00457275"/>
    <w:rsid w:val="004577C7"/>
    <w:rsid w:val="0046183F"/>
    <w:rsid w:val="00462548"/>
    <w:rsid w:val="00464518"/>
    <w:rsid w:val="004647D6"/>
    <w:rsid w:val="00472E6E"/>
    <w:rsid w:val="00474268"/>
    <w:rsid w:val="00475297"/>
    <w:rsid w:val="00475653"/>
    <w:rsid w:val="0047743C"/>
    <w:rsid w:val="00480A41"/>
    <w:rsid w:val="00481024"/>
    <w:rsid w:val="004813C6"/>
    <w:rsid w:val="00482A0A"/>
    <w:rsid w:val="00483511"/>
    <w:rsid w:val="00484198"/>
    <w:rsid w:val="00484336"/>
    <w:rsid w:val="0048467B"/>
    <w:rsid w:val="00484A7C"/>
    <w:rsid w:val="00486B8A"/>
    <w:rsid w:val="00490147"/>
    <w:rsid w:val="0049127C"/>
    <w:rsid w:val="004912F1"/>
    <w:rsid w:val="0049132E"/>
    <w:rsid w:val="004960B2"/>
    <w:rsid w:val="00496671"/>
    <w:rsid w:val="00496792"/>
    <w:rsid w:val="00497F9D"/>
    <w:rsid w:val="004A10A3"/>
    <w:rsid w:val="004A2549"/>
    <w:rsid w:val="004A2587"/>
    <w:rsid w:val="004A315C"/>
    <w:rsid w:val="004A42D3"/>
    <w:rsid w:val="004A4731"/>
    <w:rsid w:val="004A7199"/>
    <w:rsid w:val="004B12C9"/>
    <w:rsid w:val="004B1D84"/>
    <w:rsid w:val="004B1E36"/>
    <w:rsid w:val="004B28CE"/>
    <w:rsid w:val="004B376C"/>
    <w:rsid w:val="004B46E7"/>
    <w:rsid w:val="004B4CDA"/>
    <w:rsid w:val="004C19B4"/>
    <w:rsid w:val="004C2AFE"/>
    <w:rsid w:val="004C2FFA"/>
    <w:rsid w:val="004C38F5"/>
    <w:rsid w:val="004C3BA4"/>
    <w:rsid w:val="004C3D28"/>
    <w:rsid w:val="004C490E"/>
    <w:rsid w:val="004C4E6F"/>
    <w:rsid w:val="004C4E81"/>
    <w:rsid w:val="004C4F4B"/>
    <w:rsid w:val="004D025E"/>
    <w:rsid w:val="004D2DFB"/>
    <w:rsid w:val="004D3164"/>
    <w:rsid w:val="004D48E3"/>
    <w:rsid w:val="004D54A9"/>
    <w:rsid w:val="004D6397"/>
    <w:rsid w:val="004D7040"/>
    <w:rsid w:val="004D7819"/>
    <w:rsid w:val="004E0E52"/>
    <w:rsid w:val="004E14FC"/>
    <w:rsid w:val="004E1624"/>
    <w:rsid w:val="004E29BF"/>
    <w:rsid w:val="004E29E3"/>
    <w:rsid w:val="004E4C0D"/>
    <w:rsid w:val="004E6454"/>
    <w:rsid w:val="004E6EAB"/>
    <w:rsid w:val="004F1C5C"/>
    <w:rsid w:val="004F3478"/>
    <w:rsid w:val="004F37ED"/>
    <w:rsid w:val="004F3F7F"/>
    <w:rsid w:val="004F4293"/>
    <w:rsid w:val="004F4DD4"/>
    <w:rsid w:val="004F5459"/>
    <w:rsid w:val="004F5ECF"/>
    <w:rsid w:val="004F7F52"/>
    <w:rsid w:val="00501217"/>
    <w:rsid w:val="00501954"/>
    <w:rsid w:val="00502C42"/>
    <w:rsid w:val="005033D9"/>
    <w:rsid w:val="005045A2"/>
    <w:rsid w:val="005047AA"/>
    <w:rsid w:val="00506C87"/>
    <w:rsid w:val="0050729D"/>
    <w:rsid w:val="005073B4"/>
    <w:rsid w:val="005076C4"/>
    <w:rsid w:val="00511660"/>
    <w:rsid w:val="00512350"/>
    <w:rsid w:val="0051502A"/>
    <w:rsid w:val="005158D3"/>
    <w:rsid w:val="00521CBA"/>
    <w:rsid w:val="00523A8C"/>
    <w:rsid w:val="0052565D"/>
    <w:rsid w:val="00531735"/>
    <w:rsid w:val="0053299B"/>
    <w:rsid w:val="005343EB"/>
    <w:rsid w:val="005347E2"/>
    <w:rsid w:val="00535BB3"/>
    <w:rsid w:val="00536A0D"/>
    <w:rsid w:val="00536E8C"/>
    <w:rsid w:val="00541908"/>
    <w:rsid w:val="0054349E"/>
    <w:rsid w:val="0054380F"/>
    <w:rsid w:val="0054394E"/>
    <w:rsid w:val="00545D2F"/>
    <w:rsid w:val="00546494"/>
    <w:rsid w:val="0055032C"/>
    <w:rsid w:val="00552F9A"/>
    <w:rsid w:val="00555A18"/>
    <w:rsid w:val="005560C7"/>
    <w:rsid w:val="00556824"/>
    <w:rsid w:val="0055724C"/>
    <w:rsid w:val="0056043E"/>
    <w:rsid w:val="00563C49"/>
    <w:rsid w:val="0056416E"/>
    <w:rsid w:val="00566371"/>
    <w:rsid w:val="0056794D"/>
    <w:rsid w:val="00570688"/>
    <w:rsid w:val="0057108E"/>
    <w:rsid w:val="005729F5"/>
    <w:rsid w:val="00572CC8"/>
    <w:rsid w:val="00577F41"/>
    <w:rsid w:val="0058076A"/>
    <w:rsid w:val="005820DA"/>
    <w:rsid w:val="0058369F"/>
    <w:rsid w:val="00583EBF"/>
    <w:rsid w:val="005842BE"/>
    <w:rsid w:val="0058502E"/>
    <w:rsid w:val="0058565E"/>
    <w:rsid w:val="005859E8"/>
    <w:rsid w:val="00590D75"/>
    <w:rsid w:val="0059495E"/>
    <w:rsid w:val="00595870"/>
    <w:rsid w:val="00595BE9"/>
    <w:rsid w:val="005967BC"/>
    <w:rsid w:val="0059694F"/>
    <w:rsid w:val="005A5D05"/>
    <w:rsid w:val="005B0730"/>
    <w:rsid w:val="005B0F92"/>
    <w:rsid w:val="005B2007"/>
    <w:rsid w:val="005B2B63"/>
    <w:rsid w:val="005B2D44"/>
    <w:rsid w:val="005B5B5C"/>
    <w:rsid w:val="005B64D2"/>
    <w:rsid w:val="005C2A98"/>
    <w:rsid w:val="005C6875"/>
    <w:rsid w:val="005D09B4"/>
    <w:rsid w:val="005D2526"/>
    <w:rsid w:val="005D2770"/>
    <w:rsid w:val="005D37B4"/>
    <w:rsid w:val="005D445A"/>
    <w:rsid w:val="005D5285"/>
    <w:rsid w:val="005E0C27"/>
    <w:rsid w:val="005E4A4A"/>
    <w:rsid w:val="005E4CB9"/>
    <w:rsid w:val="005E4F4B"/>
    <w:rsid w:val="005E728A"/>
    <w:rsid w:val="005E7DFF"/>
    <w:rsid w:val="005E7F84"/>
    <w:rsid w:val="005F097A"/>
    <w:rsid w:val="005F2C99"/>
    <w:rsid w:val="005F4794"/>
    <w:rsid w:val="005F7970"/>
    <w:rsid w:val="00601B01"/>
    <w:rsid w:val="00603751"/>
    <w:rsid w:val="006050DD"/>
    <w:rsid w:val="00607AC0"/>
    <w:rsid w:val="00607B3A"/>
    <w:rsid w:val="00607CE4"/>
    <w:rsid w:val="00612951"/>
    <w:rsid w:val="006136B6"/>
    <w:rsid w:val="006148AC"/>
    <w:rsid w:val="00620DF5"/>
    <w:rsid w:val="006218E2"/>
    <w:rsid w:val="00622761"/>
    <w:rsid w:val="00622CD6"/>
    <w:rsid w:val="00623480"/>
    <w:rsid w:val="00625361"/>
    <w:rsid w:val="006278BD"/>
    <w:rsid w:val="006317EA"/>
    <w:rsid w:val="006326E0"/>
    <w:rsid w:val="00633DF3"/>
    <w:rsid w:val="00635653"/>
    <w:rsid w:val="006379EA"/>
    <w:rsid w:val="0064274E"/>
    <w:rsid w:val="00642F4F"/>
    <w:rsid w:val="0064357B"/>
    <w:rsid w:val="00643785"/>
    <w:rsid w:val="00643963"/>
    <w:rsid w:val="00643FBC"/>
    <w:rsid w:val="006456D5"/>
    <w:rsid w:val="006458E9"/>
    <w:rsid w:val="00646B15"/>
    <w:rsid w:val="006472EE"/>
    <w:rsid w:val="00650870"/>
    <w:rsid w:val="00650D40"/>
    <w:rsid w:val="00651479"/>
    <w:rsid w:val="0065181B"/>
    <w:rsid w:val="00654B52"/>
    <w:rsid w:val="00654D11"/>
    <w:rsid w:val="00655DD7"/>
    <w:rsid w:val="00657E98"/>
    <w:rsid w:val="0066016A"/>
    <w:rsid w:val="00663C13"/>
    <w:rsid w:val="00666CAD"/>
    <w:rsid w:val="006702A7"/>
    <w:rsid w:val="00670FAC"/>
    <w:rsid w:val="00672522"/>
    <w:rsid w:val="00673653"/>
    <w:rsid w:val="00674398"/>
    <w:rsid w:val="00674967"/>
    <w:rsid w:val="00675036"/>
    <w:rsid w:val="00675E81"/>
    <w:rsid w:val="00676888"/>
    <w:rsid w:val="00676F5D"/>
    <w:rsid w:val="00677398"/>
    <w:rsid w:val="00677774"/>
    <w:rsid w:val="00677AA4"/>
    <w:rsid w:val="00681CA1"/>
    <w:rsid w:val="00682063"/>
    <w:rsid w:val="00682CC9"/>
    <w:rsid w:val="0068332C"/>
    <w:rsid w:val="0068419C"/>
    <w:rsid w:val="00685122"/>
    <w:rsid w:val="00685A22"/>
    <w:rsid w:val="006879A9"/>
    <w:rsid w:val="00695CC7"/>
    <w:rsid w:val="00696627"/>
    <w:rsid w:val="006A26A5"/>
    <w:rsid w:val="006A29B0"/>
    <w:rsid w:val="006A2C49"/>
    <w:rsid w:val="006A354B"/>
    <w:rsid w:val="006A6ECC"/>
    <w:rsid w:val="006B024A"/>
    <w:rsid w:val="006B3C1B"/>
    <w:rsid w:val="006B3E18"/>
    <w:rsid w:val="006B517D"/>
    <w:rsid w:val="006B755F"/>
    <w:rsid w:val="006B7BBD"/>
    <w:rsid w:val="006B7C3E"/>
    <w:rsid w:val="006C1181"/>
    <w:rsid w:val="006C1A71"/>
    <w:rsid w:val="006C4BBA"/>
    <w:rsid w:val="006C7864"/>
    <w:rsid w:val="006D2B0B"/>
    <w:rsid w:val="006D319D"/>
    <w:rsid w:val="006E57FA"/>
    <w:rsid w:val="006F1064"/>
    <w:rsid w:val="006F1B73"/>
    <w:rsid w:val="006F3AAE"/>
    <w:rsid w:val="006F47A6"/>
    <w:rsid w:val="006F47B5"/>
    <w:rsid w:val="006F4A12"/>
    <w:rsid w:val="006F56DA"/>
    <w:rsid w:val="006F60A5"/>
    <w:rsid w:val="006F6211"/>
    <w:rsid w:val="007002C2"/>
    <w:rsid w:val="00701A77"/>
    <w:rsid w:val="00702715"/>
    <w:rsid w:val="007042A9"/>
    <w:rsid w:val="007047C7"/>
    <w:rsid w:val="00704A2B"/>
    <w:rsid w:val="007052D0"/>
    <w:rsid w:val="00705E28"/>
    <w:rsid w:val="0070753C"/>
    <w:rsid w:val="007109B8"/>
    <w:rsid w:val="00710A34"/>
    <w:rsid w:val="00710CD3"/>
    <w:rsid w:val="00711018"/>
    <w:rsid w:val="00712BDA"/>
    <w:rsid w:val="00713CE0"/>
    <w:rsid w:val="00713D79"/>
    <w:rsid w:val="00713D87"/>
    <w:rsid w:val="00716918"/>
    <w:rsid w:val="00717730"/>
    <w:rsid w:val="00717CC5"/>
    <w:rsid w:val="00720728"/>
    <w:rsid w:val="00720ACD"/>
    <w:rsid w:val="007238BC"/>
    <w:rsid w:val="00725321"/>
    <w:rsid w:val="00725499"/>
    <w:rsid w:val="0073068B"/>
    <w:rsid w:val="0073086A"/>
    <w:rsid w:val="00734DB0"/>
    <w:rsid w:val="007365DF"/>
    <w:rsid w:val="00741BC8"/>
    <w:rsid w:val="00742107"/>
    <w:rsid w:val="0074217A"/>
    <w:rsid w:val="007425AF"/>
    <w:rsid w:val="00742B70"/>
    <w:rsid w:val="007453F8"/>
    <w:rsid w:val="00745D3E"/>
    <w:rsid w:val="0074709F"/>
    <w:rsid w:val="00747535"/>
    <w:rsid w:val="0075009D"/>
    <w:rsid w:val="007503B4"/>
    <w:rsid w:val="00750931"/>
    <w:rsid w:val="00750FA9"/>
    <w:rsid w:val="00751ABD"/>
    <w:rsid w:val="007539EA"/>
    <w:rsid w:val="007545CA"/>
    <w:rsid w:val="00755C88"/>
    <w:rsid w:val="00756B01"/>
    <w:rsid w:val="00760249"/>
    <w:rsid w:val="00764479"/>
    <w:rsid w:val="007652EC"/>
    <w:rsid w:val="00765E17"/>
    <w:rsid w:val="0076654F"/>
    <w:rsid w:val="00770E5A"/>
    <w:rsid w:val="007721C7"/>
    <w:rsid w:val="00773DA3"/>
    <w:rsid w:val="00775D94"/>
    <w:rsid w:val="00777144"/>
    <w:rsid w:val="00777FF5"/>
    <w:rsid w:val="00780C60"/>
    <w:rsid w:val="00783892"/>
    <w:rsid w:val="00784987"/>
    <w:rsid w:val="007854AA"/>
    <w:rsid w:val="0078682E"/>
    <w:rsid w:val="007872DF"/>
    <w:rsid w:val="00787EBD"/>
    <w:rsid w:val="00790EC2"/>
    <w:rsid w:val="00792003"/>
    <w:rsid w:val="007922DD"/>
    <w:rsid w:val="00794A26"/>
    <w:rsid w:val="007956D4"/>
    <w:rsid w:val="00795A29"/>
    <w:rsid w:val="007A1657"/>
    <w:rsid w:val="007A2C0C"/>
    <w:rsid w:val="007A3048"/>
    <w:rsid w:val="007A4106"/>
    <w:rsid w:val="007A45BD"/>
    <w:rsid w:val="007A4E9D"/>
    <w:rsid w:val="007A603E"/>
    <w:rsid w:val="007B009B"/>
    <w:rsid w:val="007B0BF4"/>
    <w:rsid w:val="007B299B"/>
    <w:rsid w:val="007B2FBF"/>
    <w:rsid w:val="007B3038"/>
    <w:rsid w:val="007B56D1"/>
    <w:rsid w:val="007B751C"/>
    <w:rsid w:val="007B777D"/>
    <w:rsid w:val="007B78BE"/>
    <w:rsid w:val="007B7A36"/>
    <w:rsid w:val="007C0B31"/>
    <w:rsid w:val="007C0B77"/>
    <w:rsid w:val="007C103A"/>
    <w:rsid w:val="007C10FE"/>
    <w:rsid w:val="007C17E6"/>
    <w:rsid w:val="007C1D6A"/>
    <w:rsid w:val="007C33C7"/>
    <w:rsid w:val="007C3747"/>
    <w:rsid w:val="007C4828"/>
    <w:rsid w:val="007C7F0A"/>
    <w:rsid w:val="007D192F"/>
    <w:rsid w:val="007D1F63"/>
    <w:rsid w:val="007D63A4"/>
    <w:rsid w:val="007D688A"/>
    <w:rsid w:val="007D6C07"/>
    <w:rsid w:val="007D73D8"/>
    <w:rsid w:val="007E1079"/>
    <w:rsid w:val="007E133D"/>
    <w:rsid w:val="007E151F"/>
    <w:rsid w:val="007E2A10"/>
    <w:rsid w:val="007E2C8A"/>
    <w:rsid w:val="007E4618"/>
    <w:rsid w:val="007E4C14"/>
    <w:rsid w:val="007F1B59"/>
    <w:rsid w:val="007F3007"/>
    <w:rsid w:val="007F37B7"/>
    <w:rsid w:val="007F4C05"/>
    <w:rsid w:val="007F6376"/>
    <w:rsid w:val="00800F92"/>
    <w:rsid w:val="00803EF0"/>
    <w:rsid w:val="008042F8"/>
    <w:rsid w:val="008057A5"/>
    <w:rsid w:val="00805F72"/>
    <w:rsid w:val="008077E8"/>
    <w:rsid w:val="00810AFF"/>
    <w:rsid w:val="00811624"/>
    <w:rsid w:val="00811758"/>
    <w:rsid w:val="008118EE"/>
    <w:rsid w:val="00811EF3"/>
    <w:rsid w:val="00814DDA"/>
    <w:rsid w:val="00816C06"/>
    <w:rsid w:val="00816E74"/>
    <w:rsid w:val="0081797A"/>
    <w:rsid w:val="00820961"/>
    <w:rsid w:val="00821032"/>
    <w:rsid w:val="00823323"/>
    <w:rsid w:val="00825D0B"/>
    <w:rsid w:val="0082626E"/>
    <w:rsid w:val="00827C56"/>
    <w:rsid w:val="0083225C"/>
    <w:rsid w:val="00832531"/>
    <w:rsid w:val="0083254E"/>
    <w:rsid w:val="0083432F"/>
    <w:rsid w:val="00834420"/>
    <w:rsid w:val="00834970"/>
    <w:rsid w:val="00834C3A"/>
    <w:rsid w:val="008355D5"/>
    <w:rsid w:val="008360B2"/>
    <w:rsid w:val="0083793D"/>
    <w:rsid w:val="0084199B"/>
    <w:rsid w:val="0084277A"/>
    <w:rsid w:val="00846F18"/>
    <w:rsid w:val="00847064"/>
    <w:rsid w:val="00851505"/>
    <w:rsid w:val="00852AC8"/>
    <w:rsid w:val="00852B46"/>
    <w:rsid w:val="00853FDB"/>
    <w:rsid w:val="00857E67"/>
    <w:rsid w:val="00860EC1"/>
    <w:rsid w:val="0086586A"/>
    <w:rsid w:val="00866099"/>
    <w:rsid w:val="008660B3"/>
    <w:rsid w:val="00866579"/>
    <w:rsid w:val="00872E5D"/>
    <w:rsid w:val="00873689"/>
    <w:rsid w:val="00875B01"/>
    <w:rsid w:val="0087615B"/>
    <w:rsid w:val="0087624A"/>
    <w:rsid w:val="00876720"/>
    <w:rsid w:val="00880976"/>
    <w:rsid w:val="00882839"/>
    <w:rsid w:val="00882C0D"/>
    <w:rsid w:val="0088354E"/>
    <w:rsid w:val="0088468B"/>
    <w:rsid w:val="008846E2"/>
    <w:rsid w:val="008862B0"/>
    <w:rsid w:val="008867CC"/>
    <w:rsid w:val="00886C31"/>
    <w:rsid w:val="00887110"/>
    <w:rsid w:val="008908C6"/>
    <w:rsid w:val="00890B36"/>
    <w:rsid w:val="00891370"/>
    <w:rsid w:val="008936E2"/>
    <w:rsid w:val="0089383A"/>
    <w:rsid w:val="00895CBE"/>
    <w:rsid w:val="008965E0"/>
    <w:rsid w:val="008A19E3"/>
    <w:rsid w:val="008A2862"/>
    <w:rsid w:val="008A574E"/>
    <w:rsid w:val="008A6305"/>
    <w:rsid w:val="008A6312"/>
    <w:rsid w:val="008B0FBD"/>
    <w:rsid w:val="008B1509"/>
    <w:rsid w:val="008B1F74"/>
    <w:rsid w:val="008B2187"/>
    <w:rsid w:val="008B3B16"/>
    <w:rsid w:val="008B3F08"/>
    <w:rsid w:val="008B43BE"/>
    <w:rsid w:val="008B459D"/>
    <w:rsid w:val="008B6638"/>
    <w:rsid w:val="008B7E5A"/>
    <w:rsid w:val="008C31BD"/>
    <w:rsid w:val="008C4C60"/>
    <w:rsid w:val="008C799D"/>
    <w:rsid w:val="008C7D78"/>
    <w:rsid w:val="008D6BAD"/>
    <w:rsid w:val="008D7A00"/>
    <w:rsid w:val="008E0EE8"/>
    <w:rsid w:val="008E11CF"/>
    <w:rsid w:val="008E1B7E"/>
    <w:rsid w:val="008E1F77"/>
    <w:rsid w:val="008E25A1"/>
    <w:rsid w:val="008E2EB0"/>
    <w:rsid w:val="008E3B97"/>
    <w:rsid w:val="008E4E12"/>
    <w:rsid w:val="008E65DA"/>
    <w:rsid w:val="008E7487"/>
    <w:rsid w:val="008F0108"/>
    <w:rsid w:val="008F1C53"/>
    <w:rsid w:val="008F381B"/>
    <w:rsid w:val="008F502E"/>
    <w:rsid w:val="00900BE7"/>
    <w:rsid w:val="00901E7B"/>
    <w:rsid w:val="0090224E"/>
    <w:rsid w:val="0090226B"/>
    <w:rsid w:val="00902B6A"/>
    <w:rsid w:val="00907D74"/>
    <w:rsid w:val="00910457"/>
    <w:rsid w:val="00910B40"/>
    <w:rsid w:val="009151F9"/>
    <w:rsid w:val="009154B2"/>
    <w:rsid w:val="00916774"/>
    <w:rsid w:val="0092144D"/>
    <w:rsid w:val="00922A32"/>
    <w:rsid w:val="00925E3B"/>
    <w:rsid w:val="00930253"/>
    <w:rsid w:val="009314C6"/>
    <w:rsid w:val="00931707"/>
    <w:rsid w:val="009317DA"/>
    <w:rsid w:val="00931EF7"/>
    <w:rsid w:val="00932072"/>
    <w:rsid w:val="00935905"/>
    <w:rsid w:val="00935AB2"/>
    <w:rsid w:val="00936F03"/>
    <w:rsid w:val="00936F2D"/>
    <w:rsid w:val="009401B2"/>
    <w:rsid w:val="009408EF"/>
    <w:rsid w:val="00943E04"/>
    <w:rsid w:val="00943EE6"/>
    <w:rsid w:val="009442A9"/>
    <w:rsid w:val="00944499"/>
    <w:rsid w:val="009450D3"/>
    <w:rsid w:val="00945E93"/>
    <w:rsid w:val="00951367"/>
    <w:rsid w:val="00952CD9"/>
    <w:rsid w:val="0095593F"/>
    <w:rsid w:val="0095721F"/>
    <w:rsid w:val="009606C8"/>
    <w:rsid w:val="009618D1"/>
    <w:rsid w:val="009635BF"/>
    <w:rsid w:val="00970A0A"/>
    <w:rsid w:val="00972609"/>
    <w:rsid w:val="00972763"/>
    <w:rsid w:val="00974511"/>
    <w:rsid w:val="00974DAA"/>
    <w:rsid w:val="00976720"/>
    <w:rsid w:val="00976C57"/>
    <w:rsid w:val="00980ACC"/>
    <w:rsid w:val="009826BA"/>
    <w:rsid w:val="0098393C"/>
    <w:rsid w:val="0098536A"/>
    <w:rsid w:val="00985D9E"/>
    <w:rsid w:val="00986599"/>
    <w:rsid w:val="009870B3"/>
    <w:rsid w:val="00987F20"/>
    <w:rsid w:val="00991FA8"/>
    <w:rsid w:val="009949F7"/>
    <w:rsid w:val="00996385"/>
    <w:rsid w:val="009976D4"/>
    <w:rsid w:val="00997832"/>
    <w:rsid w:val="009A067A"/>
    <w:rsid w:val="009A1694"/>
    <w:rsid w:val="009A2441"/>
    <w:rsid w:val="009A2643"/>
    <w:rsid w:val="009A3248"/>
    <w:rsid w:val="009A366D"/>
    <w:rsid w:val="009A38C8"/>
    <w:rsid w:val="009A4A5B"/>
    <w:rsid w:val="009B0153"/>
    <w:rsid w:val="009B03C5"/>
    <w:rsid w:val="009B298C"/>
    <w:rsid w:val="009B30DF"/>
    <w:rsid w:val="009B4C47"/>
    <w:rsid w:val="009B5190"/>
    <w:rsid w:val="009B5441"/>
    <w:rsid w:val="009B68AA"/>
    <w:rsid w:val="009B7066"/>
    <w:rsid w:val="009C1183"/>
    <w:rsid w:val="009C1F2C"/>
    <w:rsid w:val="009C366B"/>
    <w:rsid w:val="009C4757"/>
    <w:rsid w:val="009C56FE"/>
    <w:rsid w:val="009C5723"/>
    <w:rsid w:val="009C5A2C"/>
    <w:rsid w:val="009C6599"/>
    <w:rsid w:val="009C669D"/>
    <w:rsid w:val="009C6929"/>
    <w:rsid w:val="009D0CA6"/>
    <w:rsid w:val="009D11A1"/>
    <w:rsid w:val="009D2313"/>
    <w:rsid w:val="009D2EE3"/>
    <w:rsid w:val="009D39C4"/>
    <w:rsid w:val="009D4EA5"/>
    <w:rsid w:val="009E04B6"/>
    <w:rsid w:val="009E0E4B"/>
    <w:rsid w:val="009E2E70"/>
    <w:rsid w:val="009E551A"/>
    <w:rsid w:val="009E5A3A"/>
    <w:rsid w:val="009E5B28"/>
    <w:rsid w:val="009F0CB5"/>
    <w:rsid w:val="009F1B88"/>
    <w:rsid w:val="009F3AED"/>
    <w:rsid w:val="009F4736"/>
    <w:rsid w:val="009F65A5"/>
    <w:rsid w:val="009F697C"/>
    <w:rsid w:val="009F70F7"/>
    <w:rsid w:val="009F71F3"/>
    <w:rsid w:val="00A035EB"/>
    <w:rsid w:val="00A064DC"/>
    <w:rsid w:val="00A06BB5"/>
    <w:rsid w:val="00A11302"/>
    <w:rsid w:val="00A12F68"/>
    <w:rsid w:val="00A14984"/>
    <w:rsid w:val="00A151C1"/>
    <w:rsid w:val="00A152C8"/>
    <w:rsid w:val="00A15C92"/>
    <w:rsid w:val="00A176FF"/>
    <w:rsid w:val="00A20288"/>
    <w:rsid w:val="00A23404"/>
    <w:rsid w:val="00A23A67"/>
    <w:rsid w:val="00A26BE5"/>
    <w:rsid w:val="00A27BD7"/>
    <w:rsid w:val="00A300E7"/>
    <w:rsid w:val="00A30AF2"/>
    <w:rsid w:val="00A32F09"/>
    <w:rsid w:val="00A332CD"/>
    <w:rsid w:val="00A358F4"/>
    <w:rsid w:val="00A36656"/>
    <w:rsid w:val="00A366A5"/>
    <w:rsid w:val="00A374D7"/>
    <w:rsid w:val="00A375BA"/>
    <w:rsid w:val="00A41596"/>
    <w:rsid w:val="00A41886"/>
    <w:rsid w:val="00A41B2F"/>
    <w:rsid w:val="00A42D0B"/>
    <w:rsid w:val="00A44A0A"/>
    <w:rsid w:val="00A45C69"/>
    <w:rsid w:val="00A45FC4"/>
    <w:rsid w:val="00A466C2"/>
    <w:rsid w:val="00A50247"/>
    <w:rsid w:val="00A51A7A"/>
    <w:rsid w:val="00A51C51"/>
    <w:rsid w:val="00A51EBB"/>
    <w:rsid w:val="00A53539"/>
    <w:rsid w:val="00A56D87"/>
    <w:rsid w:val="00A60FEB"/>
    <w:rsid w:val="00A63D3C"/>
    <w:rsid w:val="00A6429D"/>
    <w:rsid w:val="00A650E6"/>
    <w:rsid w:val="00A66026"/>
    <w:rsid w:val="00A6748E"/>
    <w:rsid w:val="00A71ABA"/>
    <w:rsid w:val="00A72213"/>
    <w:rsid w:val="00A73E6C"/>
    <w:rsid w:val="00A7430E"/>
    <w:rsid w:val="00A74A72"/>
    <w:rsid w:val="00A74BF4"/>
    <w:rsid w:val="00A74F77"/>
    <w:rsid w:val="00A7557A"/>
    <w:rsid w:val="00A75C59"/>
    <w:rsid w:val="00A76052"/>
    <w:rsid w:val="00A812B6"/>
    <w:rsid w:val="00A82E1A"/>
    <w:rsid w:val="00A8310D"/>
    <w:rsid w:val="00A838FF"/>
    <w:rsid w:val="00A85E8F"/>
    <w:rsid w:val="00A8761C"/>
    <w:rsid w:val="00A876F6"/>
    <w:rsid w:val="00A900A4"/>
    <w:rsid w:val="00A9117F"/>
    <w:rsid w:val="00A91EA7"/>
    <w:rsid w:val="00A929BF"/>
    <w:rsid w:val="00A942FD"/>
    <w:rsid w:val="00A97651"/>
    <w:rsid w:val="00AA2099"/>
    <w:rsid w:val="00AA2249"/>
    <w:rsid w:val="00AA34BF"/>
    <w:rsid w:val="00AA37EA"/>
    <w:rsid w:val="00AA3970"/>
    <w:rsid w:val="00AA65DE"/>
    <w:rsid w:val="00AA768E"/>
    <w:rsid w:val="00AB21AC"/>
    <w:rsid w:val="00AB462C"/>
    <w:rsid w:val="00AB4758"/>
    <w:rsid w:val="00AB65EA"/>
    <w:rsid w:val="00AB7424"/>
    <w:rsid w:val="00AC09D2"/>
    <w:rsid w:val="00AC1766"/>
    <w:rsid w:val="00AC17AF"/>
    <w:rsid w:val="00AC1842"/>
    <w:rsid w:val="00AC269A"/>
    <w:rsid w:val="00AC2BF0"/>
    <w:rsid w:val="00AC4BE6"/>
    <w:rsid w:val="00AC5889"/>
    <w:rsid w:val="00AC65DE"/>
    <w:rsid w:val="00AD1A83"/>
    <w:rsid w:val="00AD1AA3"/>
    <w:rsid w:val="00AD2315"/>
    <w:rsid w:val="00AD4378"/>
    <w:rsid w:val="00AD7D1C"/>
    <w:rsid w:val="00AE1894"/>
    <w:rsid w:val="00AE2078"/>
    <w:rsid w:val="00AE22B6"/>
    <w:rsid w:val="00AE3B16"/>
    <w:rsid w:val="00AE44EC"/>
    <w:rsid w:val="00AE4565"/>
    <w:rsid w:val="00AE4C92"/>
    <w:rsid w:val="00AE511E"/>
    <w:rsid w:val="00AE70FA"/>
    <w:rsid w:val="00AE726B"/>
    <w:rsid w:val="00AE7AEA"/>
    <w:rsid w:val="00AF68D0"/>
    <w:rsid w:val="00B021B3"/>
    <w:rsid w:val="00B03B54"/>
    <w:rsid w:val="00B04040"/>
    <w:rsid w:val="00B050BD"/>
    <w:rsid w:val="00B0668E"/>
    <w:rsid w:val="00B07C06"/>
    <w:rsid w:val="00B105D5"/>
    <w:rsid w:val="00B10B2D"/>
    <w:rsid w:val="00B111D6"/>
    <w:rsid w:val="00B11E0A"/>
    <w:rsid w:val="00B1200F"/>
    <w:rsid w:val="00B14773"/>
    <w:rsid w:val="00B15009"/>
    <w:rsid w:val="00B20BFE"/>
    <w:rsid w:val="00B216E8"/>
    <w:rsid w:val="00B25A7A"/>
    <w:rsid w:val="00B2671A"/>
    <w:rsid w:val="00B311EC"/>
    <w:rsid w:val="00B31553"/>
    <w:rsid w:val="00B32EE7"/>
    <w:rsid w:val="00B3345F"/>
    <w:rsid w:val="00B372B1"/>
    <w:rsid w:val="00B3785F"/>
    <w:rsid w:val="00B37B75"/>
    <w:rsid w:val="00B41E87"/>
    <w:rsid w:val="00B4250B"/>
    <w:rsid w:val="00B4267A"/>
    <w:rsid w:val="00B42E6D"/>
    <w:rsid w:val="00B431A4"/>
    <w:rsid w:val="00B4544D"/>
    <w:rsid w:val="00B4669E"/>
    <w:rsid w:val="00B46C45"/>
    <w:rsid w:val="00B50E8A"/>
    <w:rsid w:val="00B5197C"/>
    <w:rsid w:val="00B51F42"/>
    <w:rsid w:val="00B5236E"/>
    <w:rsid w:val="00B5348A"/>
    <w:rsid w:val="00B57E6C"/>
    <w:rsid w:val="00B60A99"/>
    <w:rsid w:val="00B60BD7"/>
    <w:rsid w:val="00B60BE7"/>
    <w:rsid w:val="00B63B75"/>
    <w:rsid w:val="00B7003E"/>
    <w:rsid w:val="00B70207"/>
    <w:rsid w:val="00B73230"/>
    <w:rsid w:val="00B73E85"/>
    <w:rsid w:val="00B74078"/>
    <w:rsid w:val="00B742A5"/>
    <w:rsid w:val="00B74441"/>
    <w:rsid w:val="00B7476F"/>
    <w:rsid w:val="00B763D0"/>
    <w:rsid w:val="00B77085"/>
    <w:rsid w:val="00B80020"/>
    <w:rsid w:val="00B80EE9"/>
    <w:rsid w:val="00B815B6"/>
    <w:rsid w:val="00B8264F"/>
    <w:rsid w:val="00B8413A"/>
    <w:rsid w:val="00B84D5A"/>
    <w:rsid w:val="00B85249"/>
    <w:rsid w:val="00B85946"/>
    <w:rsid w:val="00B930CB"/>
    <w:rsid w:val="00B9567E"/>
    <w:rsid w:val="00B956A8"/>
    <w:rsid w:val="00BA022F"/>
    <w:rsid w:val="00BA1137"/>
    <w:rsid w:val="00BA42D8"/>
    <w:rsid w:val="00BA6112"/>
    <w:rsid w:val="00BA621F"/>
    <w:rsid w:val="00BA6568"/>
    <w:rsid w:val="00BA67D1"/>
    <w:rsid w:val="00BA72CF"/>
    <w:rsid w:val="00BA76A8"/>
    <w:rsid w:val="00BA7C9D"/>
    <w:rsid w:val="00BB08A8"/>
    <w:rsid w:val="00BB3EF7"/>
    <w:rsid w:val="00BB56E8"/>
    <w:rsid w:val="00BB72DB"/>
    <w:rsid w:val="00BB7CBE"/>
    <w:rsid w:val="00BC37D4"/>
    <w:rsid w:val="00BC467D"/>
    <w:rsid w:val="00BC669D"/>
    <w:rsid w:val="00BD45B8"/>
    <w:rsid w:val="00BD7047"/>
    <w:rsid w:val="00BD7368"/>
    <w:rsid w:val="00BE3F03"/>
    <w:rsid w:val="00BE4DFC"/>
    <w:rsid w:val="00BE4E75"/>
    <w:rsid w:val="00BE5B35"/>
    <w:rsid w:val="00BE6634"/>
    <w:rsid w:val="00BE68C2"/>
    <w:rsid w:val="00BF011C"/>
    <w:rsid w:val="00BF0D67"/>
    <w:rsid w:val="00BF3504"/>
    <w:rsid w:val="00BF638B"/>
    <w:rsid w:val="00BF6779"/>
    <w:rsid w:val="00BF6EC8"/>
    <w:rsid w:val="00C00842"/>
    <w:rsid w:val="00C0097D"/>
    <w:rsid w:val="00C0134F"/>
    <w:rsid w:val="00C013DC"/>
    <w:rsid w:val="00C02121"/>
    <w:rsid w:val="00C03187"/>
    <w:rsid w:val="00C04987"/>
    <w:rsid w:val="00C049C5"/>
    <w:rsid w:val="00C05B91"/>
    <w:rsid w:val="00C05E05"/>
    <w:rsid w:val="00C07201"/>
    <w:rsid w:val="00C07BDF"/>
    <w:rsid w:val="00C104BC"/>
    <w:rsid w:val="00C12427"/>
    <w:rsid w:val="00C125D5"/>
    <w:rsid w:val="00C12CDF"/>
    <w:rsid w:val="00C13AE7"/>
    <w:rsid w:val="00C163EF"/>
    <w:rsid w:val="00C20B78"/>
    <w:rsid w:val="00C20FCE"/>
    <w:rsid w:val="00C21D7D"/>
    <w:rsid w:val="00C23127"/>
    <w:rsid w:val="00C2361D"/>
    <w:rsid w:val="00C236F0"/>
    <w:rsid w:val="00C24589"/>
    <w:rsid w:val="00C2577E"/>
    <w:rsid w:val="00C30D61"/>
    <w:rsid w:val="00C31021"/>
    <w:rsid w:val="00C31D25"/>
    <w:rsid w:val="00C335C3"/>
    <w:rsid w:val="00C3476E"/>
    <w:rsid w:val="00C35ECC"/>
    <w:rsid w:val="00C36735"/>
    <w:rsid w:val="00C36F84"/>
    <w:rsid w:val="00C41076"/>
    <w:rsid w:val="00C410C6"/>
    <w:rsid w:val="00C410D1"/>
    <w:rsid w:val="00C42CDA"/>
    <w:rsid w:val="00C43A2E"/>
    <w:rsid w:val="00C447ED"/>
    <w:rsid w:val="00C45BBB"/>
    <w:rsid w:val="00C50D20"/>
    <w:rsid w:val="00C5333D"/>
    <w:rsid w:val="00C5646C"/>
    <w:rsid w:val="00C56860"/>
    <w:rsid w:val="00C57FAD"/>
    <w:rsid w:val="00C615D7"/>
    <w:rsid w:val="00C6232B"/>
    <w:rsid w:val="00C6250E"/>
    <w:rsid w:val="00C63D86"/>
    <w:rsid w:val="00C65B4A"/>
    <w:rsid w:val="00C66564"/>
    <w:rsid w:val="00C6671E"/>
    <w:rsid w:val="00C66D7A"/>
    <w:rsid w:val="00C673B3"/>
    <w:rsid w:val="00C67C48"/>
    <w:rsid w:val="00C70BFE"/>
    <w:rsid w:val="00C7254A"/>
    <w:rsid w:val="00C74135"/>
    <w:rsid w:val="00C759DD"/>
    <w:rsid w:val="00C804B1"/>
    <w:rsid w:val="00C80858"/>
    <w:rsid w:val="00C818DB"/>
    <w:rsid w:val="00C81E43"/>
    <w:rsid w:val="00C82346"/>
    <w:rsid w:val="00C8527F"/>
    <w:rsid w:val="00C86366"/>
    <w:rsid w:val="00C86481"/>
    <w:rsid w:val="00C8663D"/>
    <w:rsid w:val="00C9200C"/>
    <w:rsid w:val="00C929B2"/>
    <w:rsid w:val="00C93C02"/>
    <w:rsid w:val="00C957AA"/>
    <w:rsid w:val="00C95CBB"/>
    <w:rsid w:val="00C9603A"/>
    <w:rsid w:val="00C972B7"/>
    <w:rsid w:val="00CA0CE9"/>
    <w:rsid w:val="00CA27F3"/>
    <w:rsid w:val="00CA5673"/>
    <w:rsid w:val="00CA67FA"/>
    <w:rsid w:val="00CA7A6F"/>
    <w:rsid w:val="00CB19D8"/>
    <w:rsid w:val="00CB425E"/>
    <w:rsid w:val="00CB4C54"/>
    <w:rsid w:val="00CB58C1"/>
    <w:rsid w:val="00CB5DC4"/>
    <w:rsid w:val="00CB5FE9"/>
    <w:rsid w:val="00CC01CC"/>
    <w:rsid w:val="00CC02B7"/>
    <w:rsid w:val="00CC2647"/>
    <w:rsid w:val="00CC2A2A"/>
    <w:rsid w:val="00CC332F"/>
    <w:rsid w:val="00CC4BE8"/>
    <w:rsid w:val="00CC4E2E"/>
    <w:rsid w:val="00CC75AF"/>
    <w:rsid w:val="00CD04DD"/>
    <w:rsid w:val="00CD0F8C"/>
    <w:rsid w:val="00CD2667"/>
    <w:rsid w:val="00CD6020"/>
    <w:rsid w:val="00CD6294"/>
    <w:rsid w:val="00CD7177"/>
    <w:rsid w:val="00CE2DA9"/>
    <w:rsid w:val="00CE33E1"/>
    <w:rsid w:val="00CE36C0"/>
    <w:rsid w:val="00CE4C6D"/>
    <w:rsid w:val="00CF0060"/>
    <w:rsid w:val="00CF0F25"/>
    <w:rsid w:val="00CF1468"/>
    <w:rsid w:val="00CF2245"/>
    <w:rsid w:val="00CF5011"/>
    <w:rsid w:val="00CF57B1"/>
    <w:rsid w:val="00CF7BE7"/>
    <w:rsid w:val="00D0297D"/>
    <w:rsid w:val="00D02E27"/>
    <w:rsid w:val="00D04573"/>
    <w:rsid w:val="00D11608"/>
    <w:rsid w:val="00D120F9"/>
    <w:rsid w:val="00D12A1D"/>
    <w:rsid w:val="00D12BF8"/>
    <w:rsid w:val="00D13186"/>
    <w:rsid w:val="00D13A8E"/>
    <w:rsid w:val="00D15D88"/>
    <w:rsid w:val="00D16DCE"/>
    <w:rsid w:val="00D20D7E"/>
    <w:rsid w:val="00D2219B"/>
    <w:rsid w:val="00D222E1"/>
    <w:rsid w:val="00D22771"/>
    <w:rsid w:val="00D24CA7"/>
    <w:rsid w:val="00D25571"/>
    <w:rsid w:val="00D255C9"/>
    <w:rsid w:val="00D25C0D"/>
    <w:rsid w:val="00D27579"/>
    <w:rsid w:val="00D30B31"/>
    <w:rsid w:val="00D3254E"/>
    <w:rsid w:val="00D33308"/>
    <w:rsid w:val="00D35555"/>
    <w:rsid w:val="00D355EB"/>
    <w:rsid w:val="00D35A61"/>
    <w:rsid w:val="00D42C29"/>
    <w:rsid w:val="00D45372"/>
    <w:rsid w:val="00D467C8"/>
    <w:rsid w:val="00D46956"/>
    <w:rsid w:val="00D51E28"/>
    <w:rsid w:val="00D5450F"/>
    <w:rsid w:val="00D55616"/>
    <w:rsid w:val="00D55B6A"/>
    <w:rsid w:val="00D573E0"/>
    <w:rsid w:val="00D62A4F"/>
    <w:rsid w:val="00D62DDF"/>
    <w:rsid w:val="00D63FB1"/>
    <w:rsid w:val="00D65299"/>
    <w:rsid w:val="00D66493"/>
    <w:rsid w:val="00D71869"/>
    <w:rsid w:val="00D736E3"/>
    <w:rsid w:val="00D74322"/>
    <w:rsid w:val="00D745A2"/>
    <w:rsid w:val="00D76B5C"/>
    <w:rsid w:val="00D8025F"/>
    <w:rsid w:val="00D81428"/>
    <w:rsid w:val="00D81EE4"/>
    <w:rsid w:val="00D852BB"/>
    <w:rsid w:val="00D855AB"/>
    <w:rsid w:val="00D86784"/>
    <w:rsid w:val="00D86AC0"/>
    <w:rsid w:val="00D86B7D"/>
    <w:rsid w:val="00D902DC"/>
    <w:rsid w:val="00D9161C"/>
    <w:rsid w:val="00D93A06"/>
    <w:rsid w:val="00D94044"/>
    <w:rsid w:val="00D941D9"/>
    <w:rsid w:val="00D97B22"/>
    <w:rsid w:val="00DA078E"/>
    <w:rsid w:val="00DA0E7C"/>
    <w:rsid w:val="00DA0F44"/>
    <w:rsid w:val="00DA12F2"/>
    <w:rsid w:val="00DA16A0"/>
    <w:rsid w:val="00DA18A0"/>
    <w:rsid w:val="00DA1A61"/>
    <w:rsid w:val="00DA2E6F"/>
    <w:rsid w:val="00DA4875"/>
    <w:rsid w:val="00DA6ECB"/>
    <w:rsid w:val="00DB044C"/>
    <w:rsid w:val="00DB079F"/>
    <w:rsid w:val="00DB0CD6"/>
    <w:rsid w:val="00DB0F3F"/>
    <w:rsid w:val="00DB32CD"/>
    <w:rsid w:val="00DB336D"/>
    <w:rsid w:val="00DB5656"/>
    <w:rsid w:val="00DB5FF1"/>
    <w:rsid w:val="00DC2143"/>
    <w:rsid w:val="00DC3D1B"/>
    <w:rsid w:val="00DC4242"/>
    <w:rsid w:val="00DC63A7"/>
    <w:rsid w:val="00DC6D63"/>
    <w:rsid w:val="00DD04CF"/>
    <w:rsid w:val="00DD04FB"/>
    <w:rsid w:val="00DD0EFB"/>
    <w:rsid w:val="00DD216E"/>
    <w:rsid w:val="00DD58C3"/>
    <w:rsid w:val="00DD5C3B"/>
    <w:rsid w:val="00DD5EB7"/>
    <w:rsid w:val="00DD6F1A"/>
    <w:rsid w:val="00DD7305"/>
    <w:rsid w:val="00DD7906"/>
    <w:rsid w:val="00DE64B5"/>
    <w:rsid w:val="00DF1D29"/>
    <w:rsid w:val="00DF46BB"/>
    <w:rsid w:val="00DF543D"/>
    <w:rsid w:val="00DF7CC4"/>
    <w:rsid w:val="00DF7EFA"/>
    <w:rsid w:val="00E020BE"/>
    <w:rsid w:val="00E02606"/>
    <w:rsid w:val="00E0336D"/>
    <w:rsid w:val="00E047D4"/>
    <w:rsid w:val="00E049D3"/>
    <w:rsid w:val="00E04AF6"/>
    <w:rsid w:val="00E068FB"/>
    <w:rsid w:val="00E06D74"/>
    <w:rsid w:val="00E07A42"/>
    <w:rsid w:val="00E07EF3"/>
    <w:rsid w:val="00E10ECE"/>
    <w:rsid w:val="00E12271"/>
    <w:rsid w:val="00E16F89"/>
    <w:rsid w:val="00E1740B"/>
    <w:rsid w:val="00E20C5D"/>
    <w:rsid w:val="00E24304"/>
    <w:rsid w:val="00E24514"/>
    <w:rsid w:val="00E2531A"/>
    <w:rsid w:val="00E308CF"/>
    <w:rsid w:val="00E3414D"/>
    <w:rsid w:val="00E3559F"/>
    <w:rsid w:val="00E358CA"/>
    <w:rsid w:val="00E37FC1"/>
    <w:rsid w:val="00E416AA"/>
    <w:rsid w:val="00E41FBB"/>
    <w:rsid w:val="00E439D1"/>
    <w:rsid w:val="00E441C2"/>
    <w:rsid w:val="00E4539A"/>
    <w:rsid w:val="00E453AC"/>
    <w:rsid w:val="00E459A4"/>
    <w:rsid w:val="00E461EF"/>
    <w:rsid w:val="00E46F10"/>
    <w:rsid w:val="00E47E4C"/>
    <w:rsid w:val="00E51864"/>
    <w:rsid w:val="00E51A30"/>
    <w:rsid w:val="00E52BBA"/>
    <w:rsid w:val="00E541EB"/>
    <w:rsid w:val="00E56612"/>
    <w:rsid w:val="00E6062C"/>
    <w:rsid w:val="00E60690"/>
    <w:rsid w:val="00E60A81"/>
    <w:rsid w:val="00E60F84"/>
    <w:rsid w:val="00E6130D"/>
    <w:rsid w:val="00E6376E"/>
    <w:rsid w:val="00E6394D"/>
    <w:rsid w:val="00E63C32"/>
    <w:rsid w:val="00E651CD"/>
    <w:rsid w:val="00E6745F"/>
    <w:rsid w:val="00E67784"/>
    <w:rsid w:val="00E7094B"/>
    <w:rsid w:val="00E7166F"/>
    <w:rsid w:val="00E720A2"/>
    <w:rsid w:val="00E72630"/>
    <w:rsid w:val="00E72A90"/>
    <w:rsid w:val="00E72AE6"/>
    <w:rsid w:val="00E73330"/>
    <w:rsid w:val="00E7484B"/>
    <w:rsid w:val="00E76E2F"/>
    <w:rsid w:val="00E777D3"/>
    <w:rsid w:val="00E77813"/>
    <w:rsid w:val="00E804BC"/>
    <w:rsid w:val="00E80705"/>
    <w:rsid w:val="00E80BAC"/>
    <w:rsid w:val="00E81B23"/>
    <w:rsid w:val="00E8400D"/>
    <w:rsid w:val="00E86D96"/>
    <w:rsid w:val="00E86F49"/>
    <w:rsid w:val="00E86F7E"/>
    <w:rsid w:val="00E91DCA"/>
    <w:rsid w:val="00E92168"/>
    <w:rsid w:val="00E92AF5"/>
    <w:rsid w:val="00E935D2"/>
    <w:rsid w:val="00E97400"/>
    <w:rsid w:val="00E978E4"/>
    <w:rsid w:val="00EA0D99"/>
    <w:rsid w:val="00EA1356"/>
    <w:rsid w:val="00EA20FA"/>
    <w:rsid w:val="00EA37A0"/>
    <w:rsid w:val="00EA434C"/>
    <w:rsid w:val="00EB6468"/>
    <w:rsid w:val="00EC187B"/>
    <w:rsid w:val="00EC3AEA"/>
    <w:rsid w:val="00EC4144"/>
    <w:rsid w:val="00EC488A"/>
    <w:rsid w:val="00EC6593"/>
    <w:rsid w:val="00EC73D3"/>
    <w:rsid w:val="00EC75CE"/>
    <w:rsid w:val="00EC7648"/>
    <w:rsid w:val="00ED1E76"/>
    <w:rsid w:val="00ED2588"/>
    <w:rsid w:val="00ED50E2"/>
    <w:rsid w:val="00ED5A9A"/>
    <w:rsid w:val="00ED71EA"/>
    <w:rsid w:val="00ED7212"/>
    <w:rsid w:val="00EE510F"/>
    <w:rsid w:val="00EE5239"/>
    <w:rsid w:val="00EE562A"/>
    <w:rsid w:val="00EE61F4"/>
    <w:rsid w:val="00EF0CB3"/>
    <w:rsid w:val="00EF1280"/>
    <w:rsid w:val="00EF16E3"/>
    <w:rsid w:val="00EF2E58"/>
    <w:rsid w:val="00EF3AB2"/>
    <w:rsid w:val="00EF4A26"/>
    <w:rsid w:val="00EF65A1"/>
    <w:rsid w:val="00EF73F8"/>
    <w:rsid w:val="00F02B37"/>
    <w:rsid w:val="00F0330D"/>
    <w:rsid w:val="00F0392F"/>
    <w:rsid w:val="00F04515"/>
    <w:rsid w:val="00F05B3F"/>
    <w:rsid w:val="00F05EE5"/>
    <w:rsid w:val="00F06F0F"/>
    <w:rsid w:val="00F11197"/>
    <w:rsid w:val="00F11286"/>
    <w:rsid w:val="00F115D8"/>
    <w:rsid w:val="00F12829"/>
    <w:rsid w:val="00F15B6B"/>
    <w:rsid w:val="00F214DC"/>
    <w:rsid w:val="00F225AF"/>
    <w:rsid w:val="00F2299F"/>
    <w:rsid w:val="00F247A3"/>
    <w:rsid w:val="00F2549A"/>
    <w:rsid w:val="00F26194"/>
    <w:rsid w:val="00F262F4"/>
    <w:rsid w:val="00F26EF9"/>
    <w:rsid w:val="00F27850"/>
    <w:rsid w:val="00F32402"/>
    <w:rsid w:val="00F3297A"/>
    <w:rsid w:val="00F32D23"/>
    <w:rsid w:val="00F33A3B"/>
    <w:rsid w:val="00F342A3"/>
    <w:rsid w:val="00F34C21"/>
    <w:rsid w:val="00F35404"/>
    <w:rsid w:val="00F36723"/>
    <w:rsid w:val="00F3761C"/>
    <w:rsid w:val="00F41865"/>
    <w:rsid w:val="00F431E6"/>
    <w:rsid w:val="00F43F9B"/>
    <w:rsid w:val="00F43FDB"/>
    <w:rsid w:val="00F4466B"/>
    <w:rsid w:val="00F44C5B"/>
    <w:rsid w:val="00F45045"/>
    <w:rsid w:val="00F45285"/>
    <w:rsid w:val="00F536A6"/>
    <w:rsid w:val="00F54076"/>
    <w:rsid w:val="00F54890"/>
    <w:rsid w:val="00F54FB4"/>
    <w:rsid w:val="00F551C9"/>
    <w:rsid w:val="00F64DD4"/>
    <w:rsid w:val="00F64DD8"/>
    <w:rsid w:val="00F655FC"/>
    <w:rsid w:val="00F6774C"/>
    <w:rsid w:val="00F71B1B"/>
    <w:rsid w:val="00F725EE"/>
    <w:rsid w:val="00F72F46"/>
    <w:rsid w:val="00F7322C"/>
    <w:rsid w:val="00F7469F"/>
    <w:rsid w:val="00F74C87"/>
    <w:rsid w:val="00F74DED"/>
    <w:rsid w:val="00F80570"/>
    <w:rsid w:val="00F8186C"/>
    <w:rsid w:val="00F836B4"/>
    <w:rsid w:val="00F8422C"/>
    <w:rsid w:val="00F85526"/>
    <w:rsid w:val="00F872E7"/>
    <w:rsid w:val="00F9211F"/>
    <w:rsid w:val="00F9325F"/>
    <w:rsid w:val="00F93866"/>
    <w:rsid w:val="00F94FF1"/>
    <w:rsid w:val="00FA0667"/>
    <w:rsid w:val="00FA1295"/>
    <w:rsid w:val="00FA45FC"/>
    <w:rsid w:val="00FA5A1F"/>
    <w:rsid w:val="00FA5B6E"/>
    <w:rsid w:val="00FA6509"/>
    <w:rsid w:val="00FA6CFE"/>
    <w:rsid w:val="00FB213B"/>
    <w:rsid w:val="00FB25A3"/>
    <w:rsid w:val="00FB33BF"/>
    <w:rsid w:val="00FB3FF9"/>
    <w:rsid w:val="00FB4636"/>
    <w:rsid w:val="00FB4B5F"/>
    <w:rsid w:val="00FB5350"/>
    <w:rsid w:val="00FB5769"/>
    <w:rsid w:val="00FB64E8"/>
    <w:rsid w:val="00FB68E4"/>
    <w:rsid w:val="00FB6B61"/>
    <w:rsid w:val="00FC07CB"/>
    <w:rsid w:val="00FC0ED7"/>
    <w:rsid w:val="00FC1096"/>
    <w:rsid w:val="00FC272D"/>
    <w:rsid w:val="00FC41A0"/>
    <w:rsid w:val="00FC4931"/>
    <w:rsid w:val="00FC605E"/>
    <w:rsid w:val="00FC648B"/>
    <w:rsid w:val="00FC7AF2"/>
    <w:rsid w:val="00FC7C5A"/>
    <w:rsid w:val="00FD0ABD"/>
    <w:rsid w:val="00FD1010"/>
    <w:rsid w:val="00FD2FD9"/>
    <w:rsid w:val="00FD4444"/>
    <w:rsid w:val="00FD54BB"/>
    <w:rsid w:val="00FD5876"/>
    <w:rsid w:val="00FD5EE6"/>
    <w:rsid w:val="00FD645F"/>
    <w:rsid w:val="00FD66E1"/>
    <w:rsid w:val="00FD7B21"/>
    <w:rsid w:val="00FE16BE"/>
    <w:rsid w:val="00FE29CC"/>
    <w:rsid w:val="00FE3934"/>
    <w:rsid w:val="00FE68BE"/>
    <w:rsid w:val="00FF110F"/>
    <w:rsid w:val="00FF2271"/>
    <w:rsid w:val="00FF2867"/>
    <w:rsid w:val="00FF351C"/>
    <w:rsid w:val="00FF4BCA"/>
    <w:rsid w:val="00FF4CA9"/>
    <w:rsid w:val="00FF507F"/>
    <w:rsid w:val="00FF51C2"/>
    <w:rsid w:val="052521C8"/>
    <w:rsid w:val="085BA56D"/>
    <w:rsid w:val="11D9F36B"/>
    <w:rsid w:val="143A43C5"/>
    <w:rsid w:val="15DA0212"/>
    <w:rsid w:val="1C176808"/>
    <w:rsid w:val="20C9EFEB"/>
    <w:rsid w:val="26C0C744"/>
    <w:rsid w:val="2782CEAE"/>
    <w:rsid w:val="2BDCF259"/>
    <w:rsid w:val="314E49B5"/>
    <w:rsid w:val="357F1965"/>
    <w:rsid w:val="3AC873DE"/>
    <w:rsid w:val="3B70C031"/>
    <w:rsid w:val="406A3630"/>
    <w:rsid w:val="43A9FE88"/>
    <w:rsid w:val="4A6FCE5D"/>
    <w:rsid w:val="4BC4EA7E"/>
    <w:rsid w:val="51355606"/>
    <w:rsid w:val="55E02E61"/>
    <w:rsid w:val="5845034C"/>
    <w:rsid w:val="586D8D47"/>
    <w:rsid w:val="5C8156F9"/>
    <w:rsid w:val="64E1BAA0"/>
    <w:rsid w:val="6A2513AA"/>
    <w:rsid w:val="6E02C1CD"/>
    <w:rsid w:val="71FFE149"/>
    <w:rsid w:val="72BBBB50"/>
    <w:rsid w:val="7B7BD6F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0F1FC"/>
  <w15:chartTrackingRefBased/>
  <w15:docId w15:val="{A4FFD4CA-D7B0-2343-9FCB-01264810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F0"/>
    <w:rPr>
      <w:kern w:val="0"/>
      <w:lang w:val="en-US"/>
      <w14:ligatures w14:val="none"/>
    </w:rPr>
  </w:style>
  <w:style w:type="paragraph" w:styleId="Heading1">
    <w:name w:val="heading 1"/>
    <w:basedOn w:val="Normal"/>
    <w:next w:val="Body"/>
    <w:link w:val="Heading1Char"/>
    <w:uiPriority w:val="9"/>
    <w:qFormat/>
    <w:rsid w:val="00F26E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F26EF9"/>
    <w:pPr>
      <w:spacing w:before="40"/>
      <w:outlineLvl w:val="1"/>
    </w:pPr>
    <w:rPr>
      <w:sz w:val="26"/>
      <w:szCs w:val="26"/>
    </w:rPr>
  </w:style>
  <w:style w:type="paragraph" w:styleId="Heading3">
    <w:name w:val="heading 3"/>
    <w:basedOn w:val="Normal"/>
    <w:next w:val="Normal"/>
    <w:link w:val="Heading3Char"/>
    <w:uiPriority w:val="9"/>
    <w:unhideWhenUsed/>
    <w:qFormat/>
    <w:rsid w:val="00F26E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26EF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6EF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26EF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26EF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26E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6EF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EF9"/>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F26EF9"/>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F26EF9"/>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4Char">
    <w:name w:val="Heading 4 Char"/>
    <w:basedOn w:val="DefaultParagraphFont"/>
    <w:link w:val="Heading4"/>
    <w:uiPriority w:val="9"/>
    <w:rsid w:val="00F26EF9"/>
    <w:rPr>
      <w:rFonts w:asciiTheme="majorHAnsi" w:eastAsiaTheme="majorEastAsia" w:hAnsiTheme="majorHAnsi" w:cstheme="majorBidi"/>
      <w:i/>
      <w:iCs/>
      <w:color w:val="2F5496" w:themeColor="accent1" w:themeShade="BF"/>
      <w:kern w:val="0"/>
      <w:lang w:val="en-US"/>
      <w14:ligatures w14:val="none"/>
    </w:rPr>
  </w:style>
  <w:style w:type="character" w:customStyle="1" w:styleId="Heading5Char">
    <w:name w:val="Heading 5 Char"/>
    <w:basedOn w:val="DefaultParagraphFont"/>
    <w:link w:val="Heading5"/>
    <w:uiPriority w:val="9"/>
    <w:semiHidden/>
    <w:rsid w:val="00F26EF9"/>
    <w:rPr>
      <w:rFonts w:asciiTheme="majorHAnsi" w:eastAsiaTheme="majorEastAsia" w:hAnsiTheme="majorHAnsi" w:cstheme="majorBidi"/>
      <w:color w:val="2F5496" w:themeColor="accent1" w:themeShade="BF"/>
      <w:kern w:val="0"/>
      <w:lang w:val="en-US"/>
      <w14:ligatures w14:val="none"/>
    </w:rPr>
  </w:style>
  <w:style w:type="character" w:customStyle="1" w:styleId="Heading6Char">
    <w:name w:val="Heading 6 Char"/>
    <w:basedOn w:val="DefaultParagraphFont"/>
    <w:link w:val="Heading6"/>
    <w:uiPriority w:val="9"/>
    <w:semiHidden/>
    <w:rsid w:val="00F26EF9"/>
    <w:rPr>
      <w:rFonts w:asciiTheme="majorHAnsi" w:eastAsiaTheme="majorEastAsia" w:hAnsiTheme="majorHAnsi" w:cstheme="majorBidi"/>
      <w:color w:val="1F3763" w:themeColor="accent1" w:themeShade="7F"/>
      <w:kern w:val="0"/>
      <w:lang w:val="en-US"/>
      <w14:ligatures w14:val="none"/>
    </w:rPr>
  </w:style>
  <w:style w:type="character" w:customStyle="1" w:styleId="Heading7Char">
    <w:name w:val="Heading 7 Char"/>
    <w:basedOn w:val="DefaultParagraphFont"/>
    <w:link w:val="Heading7"/>
    <w:uiPriority w:val="9"/>
    <w:semiHidden/>
    <w:rsid w:val="00F26EF9"/>
    <w:rPr>
      <w:rFonts w:asciiTheme="majorHAnsi" w:eastAsiaTheme="majorEastAsia" w:hAnsiTheme="majorHAnsi" w:cstheme="majorBidi"/>
      <w:i/>
      <w:iCs/>
      <w:color w:val="1F3763" w:themeColor="accent1" w:themeShade="7F"/>
      <w:kern w:val="0"/>
      <w:lang w:val="en-US"/>
      <w14:ligatures w14:val="none"/>
    </w:rPr>
  </w:style>
  <w:style w:type="character" w:customStyle="1" w:styleId="Heading8Char">
    <w:name w:val="Heading 8 Char"/>
    <w:basedOn w:val="DefaultParagraphFont"/>
    <w:link w:val="Heading8"/>
    <w:uiPriority w:val="9"/>
    <w:semiHidden/>
    <w:rsid w:val="00F26EF9"/>
    <w:rPr>
      <w:rFonts w:asciiTheme="majorHAnsi" w:eastAsiaTheme="majorEastAsia" w:hAnsiTheme="majorHAnsi" w:cstheme="majorBidi"/>
      <w:color w:val="272727" w:themeColor="text1" w:themeTint="D8"/>
      <w:kern w:val="0"/>
      <w:sz w:val="21"/>
      <w:szCs w:val="21"/>
      <w:lang w:val="en-US"/>
      <w14:ligatures w14:val="none"/>
    </w:rPr>
  </w:style>
  <w:style w:type="character" w:customStyle="1" w:styleId="Heading9Char">
    <w:name w:val="Heading 9 Char"/>
    <w:basedOn w:val="DefaultParagraphFont"/>
    <w:link w:val="Heading9"/>
    <w:uiPriority w:val="9"/>
    <w:semiHidden/>
    <w:rsid w:val="00F26EF9"/>
    <w:rPr>
      <w:rFonts w:asciiTheme="majorHAnsi" w:eastAsiaTheme="majorEastAsia" w:hAnsiTheme="majorHAnsi" w:cstheme="majorBidi"/>
      <w:i/>
      <w:iCs/>
      <w:color w:val="272727" w:themeColor="text1" w:themeTint="D8"/>
      <w:kern w:val="0"/>
      <w:sz w:val="21"/>
      <w:szCs w:val="21"/>
      <w:lang w:val="en-US"/>
      <w14:ligatures w14:val="none"/>
    </w:rPr>
  </w:style>
  <w:style w:type="paragraph" w:styleId="Header">
    <w:name w:val="header"/>
    <w:basedOn w:val="Normal"/>
    <w:link w:val="HeaderChar"/>
    <w:uiPriority w:val="99"/>
    <w:unhideWhenUsed/>
    <w:rsid w:val="00F26EF9"/>
    <w:pPr>
      <w:tabs>
        <w:tab w:val="center" w:pos="4513"/>
        <w:tab w:val="right" w:pos="9026"/>
      </w:tabs>
    </w:pPr>
  </w:style>
  <w:style w:type="character" w:customStyle="1" w:styleId="HeaderChar">
    <w:name w:val="Header Char"/>
    <w:basedOn w:val="DefaultParagraphFont"/>
    <w:link w:val="Header"/>
    <w:uiPriority w:val="99"/>
    <w:rsid w:val="00F26EF9"/>
    <w:rPr>
      <w:kern w:val="0"/>
      <w:lang w:val="en-US"/>
      <w14:ligatures w14:val="none"/>
    </w:rPr>
  </w:style>
  <w:style w:type="paragraph" w:customStyle="1" w:styleId="BulletLevel1">
    <w:name w:val="Bullet Level 1"/>
    <w:basedOn w:val="ListParagraph"/>
    <w:link w:val="BulletLevel1Char"/>
    <w:rsid w:val="00F26EF9"/>
    <w:pPr>
      <w:numPr>
        <w:numId w:val="2"/>
      </w:numPr>
    </w:pPr>
    <w:rPr>
      <w:rFonts w:cs="Calibri Light"/>
      <w:noProof/>
      <w:szCs w:val="20"/>
    </w:rPr>
  </w:style>
  <w:style w:type="character" w:customStyle="1" w:styleId="BulletLevel1Char">
    <w:name w:val="Bullet Level 1 Char"/>
    <w:basedOn w:val="ListParagraphChar"/>
    <w:link w:val="BulletLevel1"/>
    <w:rsid w:val="00F26EF9"/>
    <w:rPr>
      <w:rFonts w:cs="Calibri Light"/>
      <w:noProof/>
      <w:kern w:val="0"/>
      <w:szCs w:val="20"/>
      <w:lang w:val="en-US"/>
      <w14:ligatures w14:val="none"/>
    </w:rPr>
  </w:style>
  <w:style w:type="paragraph" w:styleId="ListParagraph">
    <w:name w:val="List Paragraph"/>
    <w:aliases w:val="abc,Lettre d'introduction,Paragrafo elenco,List Paragraph1,1st level - Bullet List Paragraph,List Paragraph 1,Resume Title,Citation List,Medium Grid 1 - Accent 21,Numbered paragraph 1,Normal bullet 2,Bullet list,Numbered List,Task Body,L"/>
    <w:basedOn w:val="Normal"/>
    <w:link w:val="ListParagraphChar"/>
    <w:uiPriority w:val="34"/>
    <w:qFormat/>
    <w:rsid w:val="00F26EF9"/>
    <w:pPr>
      <w:ind w:left="720"/>
      <w:contextualSpacing/>
    </w:pPr>
  </w:style>
  <w:style w:type="paragraph" w:customStyle="1" w:styleId="BulletLevel2">
    <w:name w:val="Bullet Level 2"/>
    <w:basedOn w:val="BulletLevel1"/>
    <w:link w:val="BulletLevel2Char"/>
    <w:rsid w:val="00F26EF9"/>
    <w:pPr>
      <w:numPr>
        <w:numId w:val="1"/>
      </w:numPr>
    </w:pPr>
  </w:style>
  <w:style w:type="character" w:customStyle="1" w:styleId="BulletLevel2Char">
    <w:name w:val="Bullet Level 2 Char"/>
    <w:basedOn w:val="BulletLevel1Char"/>
    <w:link w:val="BulletLevel2"/>
    <w:rsid w:val="00F26EF9"/>
    <w:rPr>
      <w:rFonts w:cs="Calibri Light"/>
      <w:noProof/>
      <w:kern w:val="0"/>
      <w:szCs w:val="20"/>
      <w:lang w:val="en-US"/>
      <w14:ligatures w14:val="none"/>
    </w:rPr>
  </w:style>
  <w:style w:type="paragraph" w:styleId="Caption">
    <w:name w:val="caption"/>
    <w:basedOn w:val="Normal"/>
    <w:next w:val="Normal"/>
    <w:uiPriority w:val="35"/>
    <w:semiHidden/>
    <w:unhideWhenUsed/>
    <w:qFormat/>
    <w:rsid w:val="00F26EF9"/>
    <w:pPr>
      <w:spacing w:after="200" w:line="240" w:lineRule="auto"/>
    </w:pPr>
    <w:rPr>
      <w:i/>
      <w:iCs/>
      <w:color w:val="44546A" w:themeColor="text2"/>
      <w:sz w:val="18"/>
      <w:szCs w:val="18"/>
    </w:rPr>
  </w:style>
  <w:style w:type="paragraph" w:styleId="Title">
    <w:name w:val="Title"/>
    <w:basedOn w:val="TOCHeading"/>
    <w:next w:val="Normal"/>
    <w:link w:val="TitleChar"/>
    <w:uiPriority w:val="10"/>
    <w:qFormat/>
    <w:rsid w:val="00F26EF9"/>
    <w:pPr>
      <w:keepNext w:val="0"/>
      <w:keepLines w:val="0"/>
      <w:spacing w:before="0" w:line="240" w:lineRule="auto"/>
      <w:contextualSpacing/>
    </w:pPr>
    <w:rPr>
      <w:color w:val="auto"/>
      <w:spacing w:val="-10"/>
      <w:kern w:val="28"/>
      <w:sz w:val="56"/>
      <w:szCs w:val="56"/>
    </w:rPr>
  </w:style>
  <w:style w:type="character" w:customStyle="1" w:styleId="TitleChar">
    <w:name w:val="Title Char"/>
    <w:basedOn w:val="DefaultParagraphFont"/>
    <w:link w:val="Title"/>
    <w:uiPriority w:val="10"/>
    <w:rsid w:val="00F26EF9"/>
    <w:rPr>
      <w:rFonts w:asciiTheme="majorHAnsi" w:eastAsiaTheme="majorEastAsia" w:hAnsiTheme="majorHAnsi" w:cstheme="majorBidi"/>
      <w:spacing w:val="-10"/>
      <w:kern w:val="28"/>
      <w:sz w:val="56"/>
      <w:szCs w:val="56"/>
      <w:lang w:val="en-US"/>
      <w14:ligatures w14:val="none"/>
    </w:rPr>
  </w:style>
  <w:style w:type="paragraph" w:styleId="Subtitle">
    <w:name w:val="Subtitle"/>
    <w:basedOn w:val="Normal"/>
    <w:next w:val="Normal"/>
    <w:link w:val="SubtitleChar"/>
    <w:uiPriority w:val="11"/>
    <w:qFormat/>
    <w:rsid w:val="00F26E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EF9"/>
    <w:rPr>
      <w:rFonts w:eastAsiaTheme="minorEastAsia"/>
      <w:color w:val="5A5A5A" w:themeColor="text1" w:themeTint="A5"/>
      <w:spacing w:val="15"/>
      <w:kern w:val="0"/>
      <w:lang w:val="en-US"/>
      <w14:ligatures w14:val="none"/>
    </w:rPr>
  </w:style>
  <w:style w:type="character" w:styleId="Strong">
    <w:name w:val="Strong"/>
    <w:basedOn w:val="DefaultParagraphFont"/>
    <w:uiPriority w:val="22"/>
    <w:qFormat/>
    <w:rsid w:val="00F26EF9"/>
    <w:rPr>
      <w:b/>
      <w:bCs/>
    </w:rPr>
  </w:style>
  <w:style w:type="character" w:styleId="Emphasis">
    <w:name w:val="Emphasis"/>
    <w:basedOn w:val="DefaultParagraphFont"/>
    <w:uiPriority w:val="20"/>
    <w:qFormat/>
    <w:rsid w:val="00F26EF9"/>
    <w:rPr>
      <w:i/>
      <w:iCs/>
    </w:rPr>
  </w:style>
  <w:style w:type="character" w:customStyle="1" w:styleId="ListParagraphChar">
    <w:name w:val="List Paragraph Char"/>
    <w:aliases w:val="abc Char,Lettre d'introduction Char,Paragrafo elenco Char,List Paragraph1 Char,1st level - Bullet List Paragraph Char,List Paragraph 1 Char,Resume Title Char,Citation List Char,Medium Grid 1 - Accent 21 Char,Numbered paragraph 1 Char"/>
    <w:basedOn w:val="DefaultParagraphFont"/>
    <w:link w:val="ListParagraph"/>
    <w:uiPriority w:val="34"/>
    <w:qFormat/>
    <w:rsid w:val="00F26EF9"/>
    <w:rPr>
      <w:kern w:val="0"/>
      <w:lang w:val="en-US"/>
      <w14:ligatures w14:val="none"/>
    </w:rPr>
  </w:style>
  <w:style w:type="paragraph" w:styleId="Quote">
    <w:name w:val="Quote"/>
    <w:basedOn w:val="Normal"/>
    <w:next w:val="Normal"/>
    <w:link w:val="QuoteChar"/>
    <w:uiPriority w:val="29"/>
    <w:qFormat/>
    <w:rsid w:val="00F26EF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26EF9"/>
    <w:rPr>
      <w:i/>
      <w:iCs/>
      <w:color w:val="404040" w:themeColor="text1" w:themeTint="BF"/>
      <w:kern w:val="0"/>
      <w:lang w:val="en-US"/>
      <w14:ligatures w14:val="none"/>
    </w:rPr>
  </w:style>
  <w:style w:type="paragraph" w:styleId="IntenseQuote">
    <w:name w:val="Intense Quote"/>
    <w:basedOn w:val="Normal"/>
    <w:next w:val="Normal"/>
    <w:link w:val="IntenseQuoteChar"/>
    <w:uiPriority w:val="30"/>
    <w:qFormat/>
    <w:rsid w:val="00F26E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6EF9"/>
    <w:rPr>
      <w:i/>
      <w:iCs/>
      <w:color w:val="4472C4" w:themeColor="accent1"/>
      <w:kern w:val="0"/>
      <w:lang w:val="en-US"/>
      <w14:ligatures w14:val="none"/>
    </w:rPr>
  </w:style>
  <w:style w:type="character" w:styleId="SubtleEmphasis">
    <w:name w:val="Subtle Emphasis"/>
    <w:basedOn w:val="DefaultParagraphFont"/>
    <w:uiPriority w:val="19"/>
    <w:qFormat/>
    <w:rsid w:val="00F26EF9"/>
    <w:rPr>
      <w:i/>
      <w:iCs/>
      <w:color w:val="404040" w:themeColor="text1" w:themeTint="BF"/>
    </w:rPr>
  </w:style>
  <w:style w:type="character" w:styleId="IntenseEmphasis">
    <w:name w:val="Intense Emphasis"/>
    <w:basedOn w:val="DefaultParagraphFont"/>
    <w:uiPriority w:val="21"/>
    <w:qFormat/>
    <w:rsid w:val="00F26EF9"/>
    <w:rPr>
      <w:i/>
      <w:iCs/>
      <w:color w:val="4472C4" w:themeColor="accent1"/>
    </w:rPr>
  </w:style>
  <w:style w:type="character" w:styleId="SubtleReference">
    <w:name w:val="Subtle Reference"/>
    <w:basedOn w:val="DefaultParagraphFont"/>
    <w:uiPriority w:val="31"/>
    <w:qFormat/>
    <w:rsid w:val="00F26EF9"/>
    <w:rPr>
      <w:smallCaps/>
      <w:color w:val="5A5A5A" w:themeColor="text1" w:themeTint="A5"/>
    </w:rPr>
  </w:style>
  <w:style w:type="character" w:styleId="IntenseReference">
    <w:name w:val="Intense Reference"/>
    <w:basedOn w:val="DefaultParagraphFont"/>
    <w:uiPriority w:val="32"/>
    <w:qFormat/>
    <w:rsid w:val="00F26EF9"/>
    <w:rPr>
      <w:b/>
      <w:bCs/>
      <w:smallCaps/>
      <w:color w:val="4472C4" w:themeColor="accent1"/>
      <w:spacing w:val="5"/>
    </w:rPr>
  </w:style>
  <w:style w:type="character" w:styleId="BookTitle">
    <w:name w:val="Book Title"/>
    <w:basedOn w:val="DefaultParagraphFont"/>
    <w:uiPriority w:val="33"/>
    <w:qFormat/>
    <w:rsid w:val="00F26EF9"/>
    <w:rPr>
      <w:b/>
      <w:bCs/>
      <w:i/>
      <w:iCs/>
      <w:spacing w:val="5"/>
    </w:rPr>
  </w:style>
  <w:style w:type="paragraph" w:styleId="TOCHeading">
    <w:name w:val="TOC Heading"/>
    <w:basedOn w:val="Heading1"/>
    <w:next w:val="Normal"/>
    <w:uiPriority w:val="39"/>
    <w:unhideWhenUsed/>
    <w:qFormat/>
    <w:rsid w:val="00F26EF9"/>
    <w:pPr>
      <w:outlineLvl w:val="9"/>
    </w:pPr>
  </w:style>
  <w:style w:type="paragraph" w:styleId="BalloonText">
    <w:name w:val="Balloon Text"/>
    <w:basedOn w:val="Normal"/>
    <w:link w:val="BalloonTextChar"/>
    <w:uiPriority w:val="99"/>
    <w:semiHidden/>
    <w:unhideWhenUsed/>
    <w:rsid w:val="00F26EF9"/>
    <w:rPr>
      <w:rFonts w:ascii="Tahoma" w:hAnsi="Tahoma" w:cs="Tahoma"/>
      <w:sz w:val="16"/>
      <w:szCs w:val="16"/>
    </w:rPr>
  </w:style>
  <w:style w:type="character" w:customStyle="1" w:styleId="BalloonTextChar">
    <w:name w:val="Balloon Text Char"/>
    <w:basedOn w:val="DefaultParagraphFont"/>
    <w:link w:val="BalloonText"/>
    <w:uiPriority w:val="99"/>
    <w:semiHidden/>
    <w:rsid w:val="00F26EF9"/>
    <w:rPr>
      <w:rFonts w:ascii="Tahoma" w:hAnsi="Tahoma" w:cs="Tahoma"/>
      <w:kern w:val="0"/>
      <w:sz w:val="16"/>
      <w:szCs w:val="16"/>
      <w:lang w:val="en-US"/>
      <w14:ligatures w14:val="none"/>
    </w:rPr>
  </w:style>
  <w:style w:type="paragraph" w:customStyle="1" w:styleId="LeadInText">
    <w:name w:val="Lead In Text"/>
    <w:basedOn w:val="Normal"/>
    <w:link w:val="LeadInTextChar"/>
    <w:rsid w:val="00F26EF9"/>
    <w:rPr>
      <w:color w:val="666666" w:themeColor="text1" w:themeTint="99"/>
      <w:sz w:val="24"/>
      <w:szCs w:val="24"/>
    </w:rPr>
  </w:style>
  <w:style w:type="character" w:customStyle="1" w:styleId="LeadInTextChar">
    <w:name w:val="Lead In Text Char"/>
    <w:basedOn w:val="DefaultParagraphFont"/>
    <w:link w:val="LeadInText"/>
    <w:rsid w:val="00F26EF9"/>
    <w:rPr>
      <w:color w:val="666666" w:themeColor="text1" w:themeTint="99"/>
      <w:kern w:val="0"/>
      <w:sz w:val="24"/>
      <w:szCs w:val="24"/>
      <w:lang w:val="en-US"/>
      <w14:ligatures w14:val="none"/>
    </w:rPr>
  </w:style>
  <w:style w:type="table" w:styleId="LightShading-Accent6">
    <w:name w:val="Light Shading Accent 6"/>
    <w:basedOn w:val="TableNormal"/>
    <w:uiPriority w:val="60"/>
    <w:rsid w:val="00F26EF9"/>
    <w:pPr>
      <w:spacing w:after="200" w:line="240" w:lineRule="auto"/>
    </w:pPr>
    <w:rPr>
      <w:rFonts w:eastAsiaTheme="minorEastAsia"/>
      <w:color w:val="538135" w:themeColor="accent6" w:themeShade="BF"/>
      <w:kern w:val="0"/>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Footer">
    <w:name w:val="footer"/>
    <w:basedOn w:val="Normal"/>
    <w:link w:val="FooterChar"/>
    <w:uiPriority w:val="99"/>
    <w:unhideWhenUsed/>
    <w:rsid w:val="00F26EF9"/>
    <w:pPr>
      <w:tabs>
        <w:tab w:val="center" w:pos="4513"/>
        <w:tab w:val="right" w:pos="9026"/>
      </w:tabs>
    </w:pPr>
  </w:style>
  <w:style w:type="character" w:customStyle="1" w:styleId="FooterChar">
    <w:name w:val="Footer Char"/>
    <w:basedOn w:val="DefaultParagraphFont"/>
    <w:link w:val="Footer"/>
    <w:uiPriority w:val="99"/>
    <w:rsid w:val="00F26EF9"/>
    <w:rPr>
      <w:kern w:val="0"/>
      <w:lang w:val="en-US"/>
      <w14:ligatures w14:val="none"/>
    </w:rPr>
  </w:style>
  <w:style w:type="character" w:styleId="Hyperlink">
    <w:name w:val="Hyperlink"/>
    <w:basedOn w:val="DefaultParagraphFont"/>
    <w:uiPriority w:val="99"/>
    <w:unhideWhenUsed/>
    <w:rsid w:val="00F26EF9"/>
    <w:rPr>
      <w:color w:val="0563C1" w:themeColor="hyperlink"/>
      <w:u w:val="none"/>
    </w:rPr>
  </w:style>
  <w:style w:type="paragraph" w:customStyle="1" w:styleId="SubHeaderPrimary">
    <w:name w:val="SubHeader (Primary)"/>
    <w:basedOn w:val="Normal"/>
    <w:link w:val="SubHeaderPrimaryChar"/>
    <w:rsid w:val="00F26EF9"/>
    <w:pPr>
      <w:spacing w:before="480" w:after="60"/>
      <w:outlineLvl w:val="2"/>
    </w:pPr>
    <w:rPr>
      <w:rFonts w:eastAsiaTheme="majorEastAsia" w:cstheme="majorBidi"/>
      <w:color w:val="E7E6E6" w:themeColor="background2"/>
      <w:spacing w:val="15"/>
      <w:sz w:val="28"/>
      <w:szCs w:val="24"/>
    </w:rPr>
  </w:style>
  <w:style w:type="character" w:customStyle="1" w:styleId="SubHeaderPrimaryChar">
    <w:name w:val="SubHeader (Primary) Char"/>
    <w:basedOn w:val="SubtitleChar"/>
    <w:link w:val="SubHeaderPrimary"/>
    <w:rsid w:val="00F26EF9"/>
    <w:rPr>
      <w:rFonts w:eastAsiaTheme="majorEastAsia" w:cstheme="majorBidi"/>
      <w:color w:val="E7E6E6" w:themeColor="background2"/>
      <w:spacing w:val="15"/>
      <w:kern w:val="0"/>
      <w:sz w:val="28"/>
      <w:szCs w:val="24"/>
      <w:lang w:val="en-US"/>
      <w14:ligatures w14:val="none"/>
    </w:rPr>
  </w:style>
  <w:style w:type="paragraph" w:customStyle="1" w:styleId="Tagline">
    <w:name w:val="Tagline"/>
    <w:basedOn w:val="Normal"/>
    <w:link w:val="TaglineChar"/>
    <w:rsid w:val="00F26EF9"/>
    <w:rPr>
      <w:rFonts w:eastAsiaTheme="majorEastAsia" w:cstheme="majorBidi"/>
      <w:b/>
      <w:color w:val="E7E6E6" w:themeColor="background2"/>
      <w:spacing w:val="15"/>
      <w:sz w:val="32"/>
      <w:szCs w:val="24"/>
    </w:rPr>
  </w:style>
  <w:style w:type="character" w:customStyle="1" w:styleId="TaglineChar">
    <w:name w:val="Tagline Char"/>
    <w:basedOn w:val="SubHeaderPrimaryChar"/>
    <w:link w:val="Tagline"/>
    <w:rsid w:val="00F26EF9"/>
    <w:rPr>
      <w:rFonts w:eastAsiaTheme="majorEastAsia" w:cstheme="majorBidi"/>
      <w:b/>
      <w:color w:val="E7E6E6" w:themeColor="background2"/>
      <w:spacing w:val="15"/>
      <w:kern w:val="0"/>
      <w:sz w:val="32"/>
      <w:szCs w:val="24"/>
      <w:lang w:val="en-US"/>
      <w14:ligatures w14:val="none"/>
    </w:rPr>
  </w:style>
  <w:style w:type="paragraph" w:styleId="TOC2">
    <w:name w:val="toc 2"/>
    <w:basedOn w:val="Normal"/>
    <w:next w:val="Normal"/>
    <w:autoRedefine/>
    <w:uiPriority w:val="39"/>
    <w:unhideWhenUsed/>
    <w:rsid w:val="00F26EF9"/>
    <w:pPr>
      <w:tabs>
        <w:tab w:val="left" w:pos="403"/>
        <w:tab w:val="right" w:leader="dot" w:pos="8495"/>
      </w:tabs>
      <w:spacing w:after="0" w:line="276" w:lineRule="auto"/>
    </w:pPr>
    <w:rPr>
      <w:noProof/>
    </w:rPr>
  </w:style>
  <w:style w:type="paragraph" w:styleId="TOC3">
    <w:name w:val="toc 3"/>
    <w:basedOn w:val="Normal"/>
    <w:next w:val="Normal"/>
    <w:autoRedefine/>
    <w:uiPriority w:val="39"/>
    <w:unhideWhenUsed/>
    <w:rsid w:val="00F26EF9"/>
    <w:pPr>
      <w:tabs>
        <w:tab w:val="left" w:pos="993"/>
        <w:tab w:val="right" w:leader="dot" w:pos="8495"/>
      </w:tabs>
      <w:spacing w:line="200" w:lineRule="exact"/>
      <w:ind w:left="403"/>
    </w:pPr>
    <w:rPr>
      <w:noProof/>
      <w:sz w:val="18"/>
    </w:rPr>
  </w:style>
  <w:style w:type="paragraph" w:styleId="TOC1">
    <w:name w:val="toc 1"/>
    <w:basedOn w:val="Normal"/>
    <w:next w:val="Normal"/>
    <w:autoRedefine/>
    <w:uiPriority w:val="39"/>
    <w:unhideWhenUsed/>
    <w:rsid w:val="00D02E27"/>
    <w:pPr>
      <w:tabs>
        <w:tab w:val="right" w:leader="dot" w:pos="8495"/>
      </w:tabs>
      <w:spacing w:before="120"/>
      <w:ind w:left="284" w:hanging="284"/>
      <w:contextualSpacing/>
    </w:pPr>
    <w:rPr>
      <w:noProof/>
    </w:rPr>
  </w:style>
  <w:style w:type="character" w:styleId="FollowedHyperlink">
    <w:name w:val="FollowedHyperlink"/>
    <w:basedOn w:val="DefaultParagraphFont"/>
    <w:uiPriority w:val="99"/>
    <w:semiHidden/>
    <w:unhideWhenUsed/>
    <w:rsid w:val="00F26EF9"/>
    <w:rPr>
      <w:color w:val="954F72" w:themeColor="followedHyperlink"/>
      <w:u w:val="single"/>
    </w:rPr>
  </w:style>
  <w:style w:type="paragraph" w:customStyle="1" w:styleId="Notes">
    <w:name w:val="Notes"/>
    <w:basedOn w:val="Normal"/>
    <w:link w:val="NotesZchn"/>
    <w:rsid w:val="00F26EF9"/>
    <w:pPr>
      <w:spacing w:after="60"/>
      <w:ind w:left="1440"/>
    </w:pPr>
    <w:rPr>
      <w:i/>
      <w:lang w:val="fr-BE"/>
    </w:rPr>
  </w:style>
  <w:style w:type="character" w:customStyle="1" w:styleId="NotesZchn">
    <w:name w:val="Notes Zchn"/>
    <w:basedOn w:val="DefaultParagraphFont"/>
    <w:link w:val="Notes"/>
    <w:rsid w:val="00F26EF9"/>
    <w:rPr>
      <w:i/>
      <w:kern w:val="0"/>
      <w:lang w:val="fr-BE"/>
      <w14:ligatures w14:val="none"/>
    </w:rPr>
  </w:style>
  <w:style w:type="paragraph" w:styleId="FootnoteText">
    <w:name w:val="footnote text"/>
    <w:basedOn w:val="Normal"/>
    <w:link w:val="FootnoteTextChar"/>
    <w:uiPriority w:val="99"/>
    <w:unhideWhenUsed/>
    <w:rsid w:val="00F26EF9"/>
    <w:pPr>
      <w:widowControl w:val="0"/>
    </w:pPr>
    <w:rPr>
      <w:szCs w:val="20"/>
    </w:rPr>
  </w:style>
  <w:style w:type="character" w:customStyle="1" w:styleId="FootnoteTextChar">
    <w:name w:val="Footnote Text Char"/>
    <w:basedOn w:val="DefaultParagraphFont"/>
    <w:link w:val="FootnoteText"/>
    <w:uiPriority w:val="99"/>
    <w:rsid w:val="00F26EF9"/>
    <w:rPr>
      <w:kern w:val="0"/>
      <w:szCs w:val="20"/>
      <w:lang w:val="en-US"/>
      <w14:ligatures w14:val="none"/>
    </w:rPr>
  </w:style>
  <w:style w:type="character" w:styleId="FootnoteReference">
    <w:name w:val="footnote reference"/>
    <w:basedOn w:val="DefaultParagraphFont"/>
    <w:uiPriority w:val="99"/>
    <w:unhideWhenUsed/>
    <w:rsid w:val="00F26EF9"/>
    <w:rPr>
      <w:vertAlign w:val="superscript"/>
    </w:rPr>
  </w:style>
  <w:style w:type="paragraph" w:styleId="Revision">
    <w:name w:val="Revision"/>
    <w:hidden/>
    <w:uiPriority w:val="99"/>
    <w:semiHidden/>
    <w:rsid w:val="00F26EF9"/>
    <w:pPr>
      <w:spacing w:after="0" w:line="240" w:lineRule="auto"/>
    </w:pPr>
    <w:rPr>
      <w:rFonts w:ascii="Calibri Light" w:eastAsiaTheme="minorEastAsia" w:hAnsi="Calibri Light"/>
      <w:color w:val="000000" w:themeColor="text1"/>
      <w:kern w:val="0"/>
      <w:sz w:val="20"/>
      <w14:ligatures w14:val="none"/>
    </w:rPr>
  </w:style>
  <w:style w:type="paragraph" w:styleId="NormalWeb">
    <w:name w:val="Normal (Web)"/>
    <w:basedOn w:val="Normal"/>
    <w:uiPriority w:val="99"/>
    <w:semiHidden/>
    <w:unhideWhenUsed/>
    <w:rsid w:val="00F26EF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6EF9"/>
    <w:rPr>
      <w:sz w:val="18"/>
      <w:szCs w:val="18"/>
    </w:rPr>
  </w:style>
  <w:style w:type="paragraph" w:styleId="CommentText">
    <w:name w:val="annotation text"/>
    <w:basedOn w:val="Normal"/>
    <w:link w:val="CommentTextChar"/>
    <w:uiPriority w:val="99"/>
    <w:unhideWhenUsed/>
    <w:rsid w:val="00F26EF9"/>
    <w:rPr>
      <w:sz w:val="24"/>
      <w:szCs w:val="24"/>
    </w:rPr>
  </w:style>
  <w:style w:type="character" w:customStyle="1" w:styleId="CommentTextChar">
    <w:name w:val="Comment Text Char"/>
    <w:basedOn w:val="DefaultParagraphFont"/>
    <w:link w:val="CommentText"/>
    <w:uiPriority w:val="99"/>
    <w:rsid w:val="00F26EF9"/>
    <w:rPr>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F26EF9"/>
    <w:rPr>
      <w:b/>
      <w:bCs/>
      <w:sz w:val="20"/>
      <w:szCs w:val="20"/>
    </w:rPr>
  </w:style>
  <w:style w:type="character" w:customStyle="1" w:styleId="CommentSubjectChar">
    <w:name w:val="Comment Subject Char"/>
    <w:basedOn w:val="CommentTextChar"/>
    <w:link w:val="CommentSubject"/>
    <w:uiPriority w:val="99"/>
    <w:semiHidden/>
    <w:rsid w:val="00F26EF9"/>
    <w:rPr>
      <w:b/>
      <w:bCs/>
      <w:kern w:val="0"/>
      <w:sz w:val="20"/>
      <w:szCs w:val="20"/>
      <w:lang w:val="en-US"/>
      <w14:ligatures w14:val="none"/>
    </w:rPr>
  </w:style>
  <w:style w:type="paragraph" w:customStyle="1" w:styleId="BulletLevel3">
    <w:name w:val="Bullet Level 3"/>
    <w:basedOn w:val="BulletLevel2"/>
    <w:link w:val="BulletLevel3Char"/>
    <w:rsid w:val="00F26EF9"/>
    <w:pPr>
      <w:ind w:left="225"/>
    </w:pPr>
  </w:style>
  <w:style w:type="character" w:customStyle="1" w:styleId="BulletLevel3Char">
    <w:name w:val="Bullet Level 3 Char"/>
    <w:basedOn w:val="BulletLevel2Char"/>
    <w:link w:val="BulletLevel3"/>
    <w:rsid w:val="00F26EF9"/>
    <w:rPr>
      <w:rFonts w:cs="Calibri Light"/>
      <w:noProof/>
      <w:kern w:val="0"/>
      <w:szCs w:val="20"/>
      <w:lang w:val="en-US"/>
      <w14:ligatures w14:val="none"/>
    </w:rPr>
  </w:style>
  <w:style w:type="paragraph" w:customStyle="1" w:styleId="Footnote">
    <w:name w:val="Footnote"/>
    <w:basedOn w:val="FootnoteText"/>
    <w:link w:val="FootnoteChar"/>
    <w:rsid w:val="00F26EF9"/>
    <w:rPr>
      <w:rFonts w:ascii="Calibri Light" w:hAnsi="Calibri Light"/>
      <w:sz w:val="16"/>
    </w:rPr>
  </w:style>
  <w:style w:type="character" w:customStyle="1" w:styleId="FootnoteChar">
    <w:name w:val="Footnote Char"/>
    <w:basedOn w:val="FootnoteTextChar"/>
    <w:link w:val="Footnote"/>
    <w:rsid w:val="00F26EF9"/>
    <w:rPr>
      <w:rFonts w:ascii="Calibri Light" w:hAnsi="Calibri Light"/>
      <w:kern w:val="0"/>
      <w:sz w:val="16"/>
      <w:szCs w:val="20"/>
      <w:lang w:val="en-US"/>
      <w14:ligatures w14:val="none"/>
    </w:rPr>
  </w:style>
  <w:style w:type="paragraph" w:customStyle="1" w:styleId="Body">
    <w:name w:val="Body"/>
    <w:basedOn w:val="Normal"/>
    <w:link w:val="BodyChar"/>
    <w:qFormat/>
    <w:rsid w:val="00F26EF9"/>
    <w:pPr>
      <w:spacing w:before="120"/>
    </w:pPr>
    <w:rPr>
      <w:noProof/>
      <w:szCs w:val="20"/>
    </w:rPr>
  </w:style>
  <w:style w:type="character" w:customStyle="1" w:styleId="BodyChar">
    <w:name w:val="Body Char"/>
    <w:basedOn w:val="DefaultParagraphFont"/>
    <w:link w:val="Body"/>
    <w:rsid w:val="00F26EF9"/>
    <w:rPr>
      <w:noProof/>
      <w:kern w:val="0"/>
      <w:szCs w:val="20"/>
      <w:lang w:val="en-US"/>
      <w14:ligatures w14:val="none"/>
    </w:rPr>
  </w:style>
  <w:style w:type="paragraph" w:customStyle="1" w:styleId="ActivityDescription">
    <w:name w:val="Activity Description"/>
    <w:basedOn w:val="Normal"/>
    <w:link w:val="ActivityDescriptionChar"/>
    <w:rsid w:val="00F26EF9"/>
    <w:pPr>
      <w:pBdr>
        <w:top w:val="single" w:sz="4" w:space="1" w:color="1F3864" w:themeColor="accent1" w:themeShade="80"/>
        <w:bottom w:val="single" w:sz="4" w:space="1" w:color="1F3864" w:themeColor="accent1" w:themeShade="80"/>
        <w:between w:val="single" w:sz="4" w:space="1" w:color="1F3864" w:themeColor="accent1" w:themeShade="80"/>
      </w:pBdr>
      <w:spacing w:after="60" w:line="160" w:lineRule="exact"/>
    </w:pPr>
    <w:rPr>
      <w:noProof/>
      <w:sz w:val="16"/>
      <w:szCs w:val="16"/>
    </w:rPr>
  </w:style>
  <w:style w:type="character" w:customStyle="1" w:styleId="ActivityDescriptionChar">
    <w:name w:val="Activity Description Char"/>
    <w:basedOn w:val="DefaultParagraphFont"/>
    <w:link w:val="ActivityDescription"/>
    <w:rsid w:val="00F26EF9"/>
    <w:rPr>
      <w:noProof/>
      <w:kern w:val="0"/>
      <w:sz w:val="16"/>
      <w:szCs w:val="16"/>
      <w:lang w:val="en-US"/>
      <w14:ligatures w14:val="none"/>
    </w:rPr>
  </w:style>
  <w:style w:type="paragraph" w:customStyle="1" w:styleId="PgNumber">
    <w:name w:val="PgNumber"/>
    <w:basedOn w:val="Normal"/>
    <w:link w:val="PgNumberChar"/>
    <w:rsid w:val="00F26EF9"/>
    <w:pPr>
      <w:jc w:val="center"/>
    </w:pPr>
    <w:rPr>
      <w:noProof/>
      <w:color w:val="FFFFFF" w:themeColor="background1"/>
      <w:sz w:val="18"/>
    </w:rPr>
  </w:style>
  <w:style w:type="character" w:customStyle="1" w:styleId="PgNumberChar">
    <w:name w:val="PgNumber Char"/>
    <w:basedOn w:val="DefaultParagraphFont"/>
    <w:link w:val="PgNumber"/>
    <w:rsid w:val="00F26EF9"/>
    <w:rPr>
      <w:noProof/>
      <w:color w:val="FFFFFF" w:themeColor="background1"/>
      <w:kern w:val="0"/>
      <w:sz w:val="18"/>
      <w:lang w:val="en-US"/>
      <w14:ligatures w14:val="none"/>
    </w:rPr>
  </w:style>
  <w:style w:type="table" w:styleId="TableGrid">
    <w:name w:val="Table Grid"/>
    <w:basedOn w:val="TableNormal"/>
    <w:uiPriority w:val="39"/>
    <w:rsid w:val="00F26EF9"/>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26EF9"/>
  </w:style>
  <w:style w:type="paragraph" w:customStyle="1" w:styleId="Emphasis-bold">
    <w:name w:val="Emphasis-bold"/>
    <w:basedOn w:val="Body"/>
    <w:link w:val="Emphasis-boldChar"/>
    <w:rsid w:val="00F26EF9"/>
    <w:rPr>
      <w:b/>
    </w:rPr>
  </w:style>
  <w:style w:type="character" w:customStyle="1" w:styleId="Emphasis-boldChar">
    <w:name w:val="Emphasis-bold Char"/>
    <w:basedOn w:val="BodyChar"/>
    <w:link w:val="Emphasis-bold"/>
    <w:rsid w:val="00F26EF9"/>
    <w:rPr>
      <w:b/>
      <w:noProof/>
      <w:kern w:val="0"/>
      <w:szCs w:val="20"/>
      <w:lang w:val="en-US"/>
      <w14:ligatures w14:val="none"/>
    </w:rPr>
  </w:style>
  <w:style w:type="table" w:customStyle="1" w:styleId="TableGridLight1">
    <w:name w:val="Table Grid Light1"/>
    <w:basedOn w:val="TableNormal"/>
    <w:uiPriority w:val="40"/>
    <w:rsid w:val="00F26EF9"/>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26EF9"/>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F26EF9"/>
    <w:pPr>
      <w:spacing w:after="0" w:line="240" w:lineRule="auto"/>
    </w:pPr>
    <w:rPr>
      <w:rFonts w:eastAsia="Calibri"/>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EF9"/>
    <w:pPr>
      <w:spacing w:after="0" w:line="240" w:lineRule="auto"/>
    </w:pPr>
    <w:rPr>
      <w:rFonts w:eastAsia="Calibri"/>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basedOn w:val="NoList"/>
    <w:rsid w:val="00F26EF9"/>
    <w:pPr>
      <w:numPr>
        <w:numId w:val="4"/>
      </w:numPr>
    </w:pPr>
  </w:style>
  <w:style w:type="character" w:customStyle="1" w:styleId="UnresolvedMention1">
    <w:name w:val="Unresolved Mention1"/>
    <w:basedOn w:val="DefaultParagraphFont"/>
    <w:uiPriority w:val="99"/>
    <w:semiHidden/>
    <w:unhideWhenUsed/>
    <w:rsid w:val="00F26EF9"/>
    <w:rPr>
      <w:color w:val="808080"/>
      <w:shd w:val="clear" w:color="auto" w:fill="E6E6E6"/>
    </w:rPr>
  </w:style>
  <w:style w:type="character" w:customStyle="1" w:styleId="invite-phone-number">
    <w:name w:val="invite-phone-number"/>
    <w:basedOn w:val="DefaultParagraphFont"/>
    <w:rsid w:val="00F26EF9"/>
  </w:style>
  <w:style w:type="paragraph" w:customStyle="1" w:styleId="paragraph">
    <w:name w:val="paragraph"/>
    <w:basedOn w:val="Normal"/>
    <w:rsid w:val="00F26E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6EF9"/>
  </w:style>
  <w:style w:type="character" w:customStyle="1" w:styleId="eop">
    <w:name w:val="eop"/>
    <w:basedOn w:val="DefaultParagraphFont"/>
    <w:rsid w:val="00F26EF9"/>
  </w:style>
  <w:style w:type="character" w:styleId="UnresolvedMention">
    <w:name w:val="Unresolved Mention"/>
    <w:basedOn w:val="DefaultParagraphFont"/>
    <w:uiPriority w:val="99"/>
    <w:unhideWhenUsed/>
    <w:rsid w:val="00F26EF9"/>
    <w:rPr>
      <w:color w:val="605E5C"/>
      <w:shd w:val="clear" w:color="auto" w:fill="E1DFDD"/>
    </w:rPr>
  </w:style>
  <w:style w:type="paragraph" w:customStyle="1" w:styleId="Sub-Heading1">
    <w:name w:val="Sub-Heading 1"/>
    <w:basedOn w:val="Normal"/>
    <w:link w:val="Sub-Heading1Char"/>
    <w:rsid w:val="00F26EF9"/>
    <w:pPr>
      <w:spacing w:before="120" w:line="276" w:lineRule="auto"/>
    </w:pPr>
    <w:rPr>
      <w:rFonts w:ascii="Calibri" w:hAnsi="Calibri"/>
      <w:b/>
      <w:szCs w:val="18"/>
    </w:rPr>
  </w:style>
  <w:style w:type="character" w:customStyle="1" w:styleId="Sub-Heading1Char">
    <w:name w:val="Sub-Heading 1 Char"/>
    <w:basedOn w:val="DefaultParagraphFont"/>
    <w:link w:val="Sub-Heading1"/>
    <w:rsid w:val="00F26EF9"/>
    <w:rPr>
      <w:rFonts w:ascii="Calibri" w:hAnsi="Calibri"/>
      <w:b/>
      <w:kern w:val="0"/>
      <w:szCs w:val="18"/>
      <w:lang w:val="en-US"/>
      <w14:ligatures w14:val="none"/>
    </w:rPr>
  </w:style>
  <w:style w:type="paragraph" w:customStyle="1" w:styleId="BULLET">
    <w:name w:val="BULLET"/>
    <w:basedOn w:val="Body"/>
    <w:link w:val="BULLETChar"/>
    <w:rsid w:val="00F26EF9"/>
    <w:pPr>
      <w:numPr>
        <w:numId w:val="3"/>
      </w:numPr>
      <w:spacing w:line="276" w:lineRule="auto"/>
      <w:contextualSpacing/>
    </w:pPr>
    <w:rPr>
      <w:rFonts w:ascii="Calibri" w:hAnsi="Calibri"/>
      <w:szCs w:val="18"/>
    </w:rPr>
  </w:style>
  <w:style w:type="character" w:customStyle="1" w:styleId="BULLETChar">
    <w:name w:val="BULLET Char"/>
    <w:basedOn w:val="BodyChar"/>
    <w:link w:val="BULLET"/>
    <w:rsid w:val="00F26EF9"/>
    <w:rPr>
      <w:rFonts w:ascii="Calibri" w:hAnsi="Calibri"/>
      <w:noProof/>
      <w:kern w:val="0"/>
      <w:szCs w:val="18"/>
      <w:lang w:val="en-US"/>
      <w14:ligatures w14:val="none"/>
    </w:rPr>
  </w:style>
  <w:style w:type="paragraph" w:styleId="BodyText">
    <w:name w:val="Body Text"/>
    <w:basedOn w:val="Normal"/>
    <w:link w:val="BodyTextChar"/>
    <w:uiPriority w:val="1"/>
    <w:rsid w:val="00F26EF9"/>
    <w:pPr>
      <w:widowControl w:val="0"/>
      <w:autoSpaceDE w:val="0"/>
      <w:autoSpaceDN w:val="0"/>
      <w:spacing w:line="276" w:lineRule="auto"/>
    </w:pPr>
    <w:rPr>
      <w:rFonts w:eastAsia="Calibri Light" w:cs="Calibri Light"/>
      <w:szCs w:val="20"/>
      <w:lang w:eastAsia="en-GB" w:bidi="en-GB"/>
    </w:rPr>
  </w:style>
  <w:style w:type="character" w:customStyle="1" w:styleId="BodyTextChar">
    <w:name w:val="Body Text Char"/>
    <w:basedOn w:val="DefaultParagraphFont"/>
    <w:link w:val="BodyText"/>
    <w:uiPriority w:val="1"/>
    <w:rsid w:val="00F26EF9"/>
    <w:rPr>
      <w:rFonts w:eastAsia="Calibri Light" w:cs="Calibri Light"/>
      <w:kern w:val="0"/>
      <w:szCs w:val="20"/>
      <w:lang w:val="en-US" w:eastAsia="en-GB" w:bidi="en-GB"/>
      <w14:ligatures w14:val="none"/>
    </w:rPr>
  </w:style>
  <w:style w:type="character" w:styleId="Mention">
    <w:name w:val="Mention"/>
    <w:basedOn w:val="DefaultParagraphFont"/>
    <w:uiPriority w:val="99"/>
    <w:unhideWhenUsed/>
    <w:rsid w:val="00F26EF9"/>
    <w:rPr>
      <w:color w:val="2B579A"/>
      <w:shd w:val="clear" w:color="auto" w:fill="E1DFDD"/>
    </w:rPr>
  </w:style>
  <w:style w:type="paragraph" w:customStyle="1" w:styleId="Heading0">
    <w:name w:val="Heading 0"/>
    <w:basedOn w:val="Heading1"/>
    <w:next w:val="Normal"/>
    <w:link w:val="Heading0Char"/>
    <w:rsid w:val="00F26EF9"/>
    <w:pPr>
      <w:pageBreakBefore/>
      <w:ind w:left="-851"/>
    </w:pPr>
  </w:style>
  <w:style w:type="character" w:customStyle="1" w:styleId="Heading0Char">
    <w:name w:val="Heading 0 Char"/>
    <w:basedOn w:val="Heading1Char"/>
    <w:link w:val="Heading0"/>
    <w:rsid w:val="00F26EF9"/>
    <w:rPr>
      <w:rFonts w:asciiTheme="majorHAnsi" w:eastAsiaTheme="majorEastAsia" w:hAnsiTheme="majorHAnsi" w:cstheme="majorBidi"/>
      <w:color w:val="2F5496" w:themeColor="accent1" w:themeShade="BF"/>
      <w:kern w:val="0"/>
      <w:sz w:val="32"/>
      <w:szCs w:val="32"/>
      <w:lang w:val="en-US"/>
      <w14:ligatures w14:val="none"/>
    </w:rPr>
  </w:style>
  <w:style w:type="table" w:customStyle="1" w:styleId="TableGrid3">
    <w:name w:val="Table Grid3"/>
    <w:basedOn w:val="TableNormal"/>
    <w:next w:val="TableGrid"/>
    <w:uiPriority w:val="39"/>
    <w:rsid w:val="00F26EF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F26EF9"/>
    <w:pPr>
      <w:spacing w:after="0" w:line="240" w:lineRule="auto"/>
    </w:pPr>
    <w:rPr>
      <w:kern w:val="0"/>
      <w:lang w:val="en-US"/>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rsid w:val="00F26EF9"/>
    <w:pPr>
      <w:widowControl w:val="0"/>
      <w:autoSpaceDE w:val="0"/>
      <w:autoSpaceDN w:val="0"/>
      <w:spacing w:after="0"/>
      <w:ind w:left="107"/>
    </w:pPr>
    <w:rPr>
      <w:rFonts w:eastAsia="Calibri Light" w:cs="Calibri Light"/>
      <w:lang w:eastAsia="en-GB" w:bidi="en-GB"/>
    </w:rPr>
  </w:style>
  <w:style w:type="table" w:styleId="ListTable7Colorful-Accent6">
    <w:name w:val="List Table 7 Colorful Accent 6"/>
    <w:basedOn w:val="TableNormal"/>
    <w:uiPriority w:val="52"/>
    <w:rsid w:val="00F26EF9"/>
    <w:pPr>
      <w:spacing w:after="0" w:line="240" w:lineRule="auto"/>
    </w:pPr>
    <w:rPr>
      <w:rFonts w:eastAsiaTheme="minorEastAsia"/>
      <w:color w:val="538135" w:themeColor="accent6" w:themeShade="BF"/>
      <w:kern w:val="0"/>
      <w:sz w:val="21"/>
      <w:szCs w:val="21"/>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F26EF9"/>
    <w:pPr>
      <w:autoSpaceDE w:val="0"/>
      <w:autoSpaceDN w:val="0"/>
      <w:adjustRightInd w:val="0"/>
      <w:spacing w:after="0" w:line="240" w:lineRule="auto"/>
    </w:pPr>
    <w:rPr>
      <w:rFonts w:ascii="Calibri" w:hAnsi="Calibri" w:cs="Calibri"/>
      <w:color w:val="000000"/>
      <w:kern w:val="0"/>
      <w:sz w:val="24"/>
      <w:szCs w:val="24"/>
      <w:lang w:val="en-US"/>
      <w14:ligatures w14:val="none"/>
    </w:rPr>
  </w:style>
  <w:style w:type="table" w:styleId="PlainTable2">
    <w:name w:val="Plain Table 2"/>
    <w:basedOn w:val="TableNormal"/>
    <w:uiPriority w:val="42"/>
    <w:rsid w:val="00F26EF9"/>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Normal"/>
    <w:link w:val="Style1Char"/>
    <w:rsid w:val="00F26EF9"/>
    <w:rPr>
      <w:rFonts w:cstheme="minorHAnsi"/>
      <w:b/>
      <w:bCs/>
      <w:color w:val="4472C4" w:themeColor="accent1"/>
      <w:sz w:val="40"/>
      <w:szCs w:val="44"/>
    </w:rPr>
  </w:style>
  <w:style w:type="character" w:customStyle="1" w:styleId="Style1Char">
    <w:name w:val="Style1 Char"/>
    <w:basedOn w:val="DefaultParagraphFont"/>
    <w:link w:val="Style1"/>
    <w:rsid w:val="00F26EF9"/>
    <w:rPr>
      <w:rFonts w:cstheme="minorHAnsi"/>
      <w:b/>
      <w:bCs/>
      <w:color w:val="4472C4" w:themeColor="accent1"/>
      <w:kern w:val="0"/>
      <w:sz w:val="40"/>
      <w:szCs w:val="44"/>
      <w:lang w:val="en-US"/>
      <w14:ligatures w14:val="none"/>
    </w:rPr>
  </w:style>
  <w:style w:type="paragraph" w:styleId="NoSpacing">
    <w:name w:val="No Spacing"/>
    <w:uiPriority w:val="1"/>
    <w:qFormat/>
    <w:rsid w:val="00F26EF9"/>
    <w:pPr>
      <w:spacing w:after="0" w:line="240" w:lineRule="auto"/>
    </w:pPr>
    <w:rPr>
      <w:kern w:val="0"/>
      <w:lang w:val="en-US"/>
      <w14:ligatures w14:val="none"/>
    </w:rPr>
  </w:style>
  <w:style w:type="table" w:styleId="TableGridLight">
    <w:name w:val="Grid Table Light"/>
    <w:basedOn w:val="TableNormal"/>
    <w:uiPriority w:val="40"/>
    <w:rsid w:val="00F26EF9"/>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F26EF9"/>
    <w:pPr>
      <w:spacing w:after="0" w:line="240" w:lineRule="auto"/>
    </w:pPr>
    <w:rPr>
      <w:kern w:val="0"/>
      <w:lang w:val="en-US"/>
      <w14:ligatures w14:val="non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F26EF9"/>
    <w:pPr>
      <w:spacing w:after="0" w:line="240" w:lineRule="auto"/>
    </w:pPr>
    <w:rPr>
      <w:kern w:val="0"/>
      <w:lang w:val="en-US"/>
      <w14:ligatures w14:val="none"/>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F26EF9"/>
    <w:pPr>
      <w:spacing w:after="0" w:line="240" w:lineRule="auto"/>
    </w:pPr>
    <w:rPr>
      <w:kern w:val="0"/>
      <w:lang w:val="en-US"/>
      <w14:ligatures w14:val="none"/>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2">
    <w:name w:val="List Table 1 Light Accent 2"/>
    <w:basedOn w:val="TableNormal"/>
    <w:uiPriority w:val="46"/>
    <w:rsid w:val="00F26EF9"/>
    <w:pPr>
      <w:spacing w:after="0" w:line="240" w:lineRule="auto"/>
    </w:pPr>
    <w:rPr>
      <w:kern w:val="0"/>
      <w:lang w:val="en-US"/>
      <w14:ligatures w14:val="none"/>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4">
    <w:name w:val="Table Grid4"/>
    <w:basedOn w:val="TableNormal"/>
    <w:next w:val="TableGrid"/>
    <w:uiPriority w:val="39"/>
    <w:rsid w:val="00F26EF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7430E"/>
  </w:style>
  <w:style w:type="character" w:customStyle="1" w:styleId="wacimagecontainer">
    <w:name w:val="wacimagecontainer"/>
    <w:basedOn w:val="DefaultParagraphFont"/>
    <w:rsid w:val="000D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9312">
      <w:bodyDiv w:val="1"/>
      <w:marLeft w:val="0"/>
      <w:marRight w:val="0"/>
      <w:marTop w:val="0"/>
      <w:marBottom w:val="0"/>
      <w:divBdr>
        <w:top w:val="none" w:sz="0" w:space="0" w:color="auto"/>
        <w:left w:val="none" w:sz="0" w:space="0" w:color="auto"/>
        <w:bottom w:val="none" w:sz="0" w:space="0" w:color="auto"/>
        <w:right w:val="none" w:sz="0" w:space="0" w:color="auto"/>
      </w:divBdr>
    </w:div>
    <w:div w:id="713774672">
      <w:bodyDiv w:val="1"/>
      <w:marLeft w:val="0"/>
      <w:marRight w:val="0"/>
      <w:marTop w:val="0"/>
      <w:marBottom w:val="0"/>
      <w:divBdr>
        <w:top w:val="none" w:sz="0" w:space="0" w:color="auto"/>
        <w:left w:val="none" w:sz="0" w:space="0" w:color="auto"/>
        <w:bottom w:val="none" w:sz="0" w:space="0" w:color="auto"/>
        <w:right w:val="none" w:sz="0" w:space="0" w:color="auto"/>
      </w:divBdr>
      <w:divsChild>
        <w:div w:id="326716292">
          <w:marLeft w:val="547"/>
          <w:marRight w:val="0"/>
          <w:marTop w:val="0"/>
          <w:marBottom w:val="0"/>
          <w:divBdr>
            <w:top w:val="none" w:sz="0" w:space="0" w:color="auto"/>
            <w:left w:val="none" w:sz="0" w:space="0" w:color="auto"/>
            <w:bottom w:val="none" w:sz="0" w:space="0" w:color="auto"/>
            <w:right w:val="none" w:sz="0" w:space="0" w:color="auto"/>
          </w:divBdr>
        </w:div>
        <w:div w:id="505560161">
          <w:marLeft w:val="547"/>
          <w:marRight w:val="0"/>
          <w:marTop w:val="0"/>
          <w:marBottom w:val="0"/>
          <w:divBdr>
            <w:top w:val="none" w:sz="0" w:space="0" w:color="auto"/>
            <w:left w:val="none" w:sz="0" w:space="0" w:color="auto"/>
            <w:bottom w:val="none" w:sz="0" w:space="0" w:color="auto"/>
            <w:right w:val="none" w:sz="0" w:space="0" w:color="auto"/>
          </w:divBdr>
        </w:div>
        <w:div w:id="1105492848">
          <w:marLeft w:val="547"/>
          <w:marRight w:val="0"/>
          <w:marTop w:val="0"/>
          <w:marBottom w:val="0"/>
          <w:divBdr>
            <w:top w:val="none" w:sz="0" w:space="0" w:color="auto"/>
            <w:left w:val="none" w:sz="0" w:space="0" w:color="auto"/>
            <w:bottom w:val="none" w:sz="0" w:space="0" w:color="auto"/>
            <w:right w:val="none" w:sz="0" w:space="0" w:color="auto"/>
          </w:divBdr>
        </w:div>
        <w:div w:id="1144812456">
          <w:marLeft w:val="547"/>
          <w:marRight w:val="0"/>
          <w:marTop w:val="0"/>
          <w:marBottom w:val="0"/>
          <w:divBdr>
            <w:top w:val="none" w:sz="0" w:space="0" w:color="auto"/>
            <w:left w:val="none" w:sz="0" w:space="0" w:color="auto"/>
            <w:bottom w:val="none" w:sz="0" w:space="0" w:color="auto"/>
            <w:right w:val="none" w:sz="0" w:space="0" w:color="auto"/>
          </w:divBdr>
        </w:div>
        <w:div w:id="1275290071">
          <w:marLeft w:val="547"/>
          <w:marRight w:val="0"/>
          <w:marTop w:val="0"/>
          <w:marBottom w:val="0"/>
          <w:divBdr>
            <w:top w:val="none" w:sz="0" w:space="0" w:color="auto"/>
            <w:left w:val="none" w:sz="0" w:space="0" w:color="auto"/>
            <w:bottom w:val="none" w:sz="0" w:space="0" w:color="auto"/>
            <w:right w:val="none" w:sz="0" w:space="0" w:color="auto"/>
          </w:divBdr>
        </w:div>
      </w:divsChild>
    </w:div>
    <w:div w:id="722213743">
      <w:bodyDiv w:val="1"/>
      <w:marLeft w:val="0"/>
      <w:marRight w:val="0"/>
      <w:marTop w:val="0"/>
      <w:marBottom w:val="0"/>
      <w:divBdr>
        <w:top w:val="none" w:sz="0" w:space="0" w:color="auto"/>
        <w:left w:val="none" w:sz="0" w:space="0" w:color="auto"/>
        <w:bottom w:val="none" w:sz="0" w:space="0" w:color="auto"/>
        <w:right w:val="none" w:sz="0" w:space="0" w:color="auto"/>
      </w:divBdr>
      <w:divsChild>
        <w:div w:id="60569705">
          <w:marLeft w:val="446"/>
          <w:marRight w:val="0"/>
          <w:marTop w:val="0"/>
          <w:marBottom w:val="0"/>
          <w:divBdr>
            <w:top w:val="none" w:sz="0" w:space="0" w:color="auto"/>
            <w:left w:val="none" w:sz="0" w:space="0" w:color="auto"/>
            <w:bottom w:val="none" w:sz="0" w:space="0" w:color="auto"/>
            <w:right w:val="none" w:sz="0" w:space="0" w:color="auto"/>
          </w:divBdr>
        </w:div>
        <w:div w:id="899175579">
          <w:marLeft w:val="446"/>
          <w:marRight w:val="0"/>
          <w:marTop w:val="0"/>
          <w:marBottom w:val="0"/>
          <w:divBdr>
            <w:top w:val="none" w:sz="0" w:space="0" w:color="auto"/>
            <w:left w:val="none" w:sz="0" w:space="0" w:color="auto"/>
            <w:bottom w:val="none" w:sz="0" w:space="0" w:color="auto"/>
            <w:right w:val="none" w:sz="0" w:space="0" w:color="auto"/>
          </w:divBdr>
        </w:div>
        <w:div w:id="2125688117">
          <w:marLeft w:val="446"/>
          <w:marRight w:val="0"/>
          <w:marTop w:val="0"/>
          <w:marBottom w:val="0"/>
          <w:divBdr>
            <w:top w:val="none" w:sz="0" w:space="0" w:color="auto"/>
            <w:left w:val="none" w:sz="0" w:space="0" w:color="auto"/>
            <w:bottom w:val="none" w:sz="0" w:space="0" w:color="auto"/>
            <w:right w:val="none" w:sz="0" w:space="0" w:color="auto"/>
          </w:divBdr>
        </w:div>
      </w:divsChild>
    </w:div>
    <w:div w:id="726033401">
      <w:bodyDiv w:val="1"/>
      <w:marLeft w:val="0"/>
      <w:marRight w:val="0"/>
      <w:marTop w:val="0"/>
      <w:marBottom w:val="0"/>
      <w:divBdr>
        <w:top w:val="none" w:sz="0" w:space="0" w:color="auto"/>
        <w:left w:val="none" w:sz="0" w:space="0" w:color="auto"/>
        <w:bottom w:val="none" w:sz="0" w:space="0" w:color="auto"/>
        <w:right w:val="none" w:sz="0" w:space="0" w:color="auto"/>
      </w:divBdr>
    </w:div>
    <w:div w:id="780151883">
      <w:bodyDiv w:val="1"/>
      <w:marLeft w:val="0"/>
      <w:marRight w:val="0"/>
      <w:marTop w:val="0"/>
      <w:marBottom w:val="0"/>
      <w:divBdr>
        <w:top w:val="none" w:sz="0" w:space="0" w:color="auto"/>
        <w:left w:val="none" w:sz="0" w:space="0" w:color="auto"/>
        <w:bottom w:val="none" w:sz="0" w:space="0" w:color="auto"/>
        <w:right w:val="none" w:sz="0" w:space="0" w:color="auto"/>
      </w:divBdr>
    </w:div>
    <w:div w:id="888880941">
      <w:bodyDiv w:val="1"/>
      <w:marLeft w:val="0"/>
      <w:marRight w:val="0"/>
      <w:marTop w:val="0"/>
      <w:marBottom w:val="0"/>
      <w:divBdr>
        <w:top w:val="none" w:sz="0" w:space="0" w:color="auto"/>
        <w:left w:val="none" w:sz="0" w:space="0" w:color="auto"/>
        <w:bottom w:val="none" w:sz="0" w:space="0" w:color="auto"/>
        <w:right w:val="none" w:sz="0" w:space="0" w:color="auto"/>
      </w:divBdr>
    </w:div>
    <w:div w:id="995456764">
      <w:bodyDiv w:val="1"/>
      <w:marLeft w:val="0"/>
      <w:marRight w:val="0"/>
      <w:marTop w:val="0"/>
      <w:marBottom w:val="0"/>
      <w:divBdr>
        <w:top w:val="none" w:sz="0" w:space="0" w:color="auto"/>
        <w:left w:val="none" w:sz="0" w:space="0" w:color="auto"/>
        <w:bottom w:val="none" w:sz="0" w:space="0" w:color="auto"/>
        <w:right w:val="none" w:sz="0" w:space="0" w:color="auto"/>
      </w:divBdr>
    </w:div>
    <w:div w:id="1070232936">
      <w:bodyDiv w:val="1"/>
      <w:marLeft w:val="0"/>
      <w:marRight w:val="0"/>
      <w:marTop w:val="0"/>
      <w:marBottom w:val="0"/>
      <w:divBdr>
        <w:top w:val="none" w:sz="0" w:space="0" w:color="auto"/>
        <w:left w:val="none" w:sz="0" w:space="0" w:color="auto"/>
        <w:bottom w:val="none" w:sz="0" w:space="0" w:color="auto"/>
        <w:right w:val="none" w:sz="0" w:space="0" w:color="auto"/>
      </w:divBdr>
    </w:div>
    <w:div w:id="1355575259">
      <w:bodyDiv w:val="1"/>
      <w:marLeft w:val="0"/>
      <w:marRight w:val="0"/>
      <w:marTop w:val="0"/>
      <w:marBottom w:val="0"/>
      <w:divBdr>
        <w:top w:val="none" w:sz="0" w:space="0" w:color="auto"/>
        <w:left w:val="none" w:sz="0" w:space="0" w:color="auto"/>
        <w:bottom w:val="none" w:sz="0" w:space="0" w:color="auto"/>
        <w:right w:val="none" w:sz="0" w:space="0" w:color="auto"/>
      </w:divBdr>
    </w:div>
    <w:div w:id="1356883180">
      <w:bodyDiv w:val="1"/>
      <w:marLeft w:val="0"/>
      <w:marRight w:val="0"/>
      <w:marTop w:val="0"/>
      <w:marBottom w:val="0"/>
      <w:divBdr>
        <w:top w:val="none" w:sz="0" w:space="0" w:color="auto"/>
        <w:left w:val="none" w:sz="0" w:space="0" w:color="auto"/>
        <w:bottom w:val="none" w:sz="0" w:space="0" w:color="auto"/>
        <w:right w:val="none" w:sz="0" w:space="0" w:color="auto"/>
      </w:divBdr>
    </w:div>
    <w:div w:id="18791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TXT/?uri=CELEX:32003H0361&amp;locale=en" TargetMode="External"/><Relationship Id="rId18" Type="http://schemas.openxmlformats.org/officeDocument/2006/relationships/hyperlink" Target="https://www.eitfood.eu/missions" TargetMode="External"/><Relationship Id="rId26" Type="http://schemas.openxmlformats.org/officeDocument/2006/relationships/hyperlink" Target="https://www.eitfood.eu/files/list-3rd-country-participation_horizon-euratom_en.pdf" TargetMode="External"/><Relationship Id="rId39" Type="http://schemas.openxmlformats.org/officeDocument/2006/relationships/hyperlink" Target="https://www.eitfood.eu/open-calls/fast-track-to-market-2024" TargetMode="External"/><Relationship Id="rId21" Type="http://schemas.openxmlformats.org/officeDocument/2006/relationships/hyperlink" Target="http://eur-lex.europa.eu/legal-content/EN/TXT/?uri=CELEX:32003H0361&amp;locale=en" TargetMode="External"/><Relationship Id="rId34" Type="http://schemas.openxmlformats.org/officeDocument/2006/relationships/hyperlink" Target="https://eitfoodivzw.sharepoint.com/:w:/r/sites/Call2023/_layouts/15/Doc.aspx?sourcedoc=%7B3E2A62B4-244D-4BD2-A23B-CB1A2C8F460D%7D&amp;file=EIT%20Food%20Redress%20Mechanism%20.docx&amp;wdLOR=c036C4229-1DA3-DC49-94A8-4D3329648B88&amp;action=default&amp;mobileredirect=true"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c.europa.eu/growth/smes/sme-definition_en" TargetMode="External"/><Relationship Id="rId29" Type="http://schemas.openxmlformats.org/officeDocument/2006/relationships/hyperlink" Target="https://ec.europa.eu/research/participants/data/support/expert/expert_code_of_conduct.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fasttrackcall@eitfood.eu" TargetMode="External"/><Relationship Id="rId32" Type="http://schemas.openxmlformats.org/officeDocument/2006/relationships/hyperlink" Target="https://www.eitfood.eu/files/PIC-Guidance.pdf" TargetMode="External"/><Relationship Id="rId37" Type="http://schemas.openxmlformats.org/officeDocument/2006/relationships/hyperlink" Target="https://ec.europa.eu/info/funding-tenders/opportunities/docs/2021-2027/common/guidance/aga_en.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eitfood.eu/missions" TargetMode="External"/><Relationship Id="rId28" Type="http://schemas.openxmlformats.org/officeDocument/2006/relationships/hyperlink" Target="mailto:fasttrackcall@eitfood.eu" TargetMode="External"/><Relationship Id="rId36" Type="http://schemas.openxmlformats.org/officeDocument/2006/relationships/hyperlink" Target="https://ec.europa.eu/info/funding-tenders/opportunities/docs/2021-2027/common/agr-contr/general-mga_horizon-euratom_en.pdf" TargetMode="External"/><Relationship Id="rId10" Type="http://schemas.openxmlformats.org/officeDocument/2006/relationships/endnotes" Target="endnotes.xml"/><Relationship Id="rId19" Type="http://schemas.openxmlformats.org/officeDocument/2006/relationships/hyperlink" Target="https://ec.europa.eu/info/funding-tenders/opportunities/docs/2021-2027/common/guidance/list-3rd-country-participation_horizon-euratom_en.pdf" TargetMode="External"/><Relationship Id="rId31" Type="http://schemas.openxmlformats.org/officeDocument/2006/relationships/hyperlink" Target="http://eur-lex.europa.eu/legal-content/EN/TXT/?uri=CELEX:32003H0361&amp;locale=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eitfood.eu/files/PIC-Guidance.pdf" TargetMode="External"/><Relationship Id="rId27" Type="http://schemas.openxmlformats.org/officeDocument/2006/relationships/hyperlink" Target="https://www.eitfood.eu/open-calls/fast-track-to-market-2024" TargetMode="External"/><Relationship Id="rId30" Type="http://schemas.openxmlformats.org/officeDocument/2006/relationships/hyperlink" Target="https://ec.europa.eu/growth/smes/sme-definition_en" TargetMode="External"/><Relationship Id="rId35" Type="http://schemas.openxmlformats.org/officeDocument/2006/relationships/hyperlink" Target="https://www.eitfood.eu/files/list-3rd-country-participation_horizon-euratom_en.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c.europa.eu/growth/smes/sme-definition_en" TargetMode="External"/><Relationship Id="rId17" Type="http://schemas.openxmlformats.org/officeDocument/2006/relationships/hyperlink" Target="https://www.eitfood.eu/media/documents/EIT_Food_Strategic_Agenda_2021-2027.pdf" TargetMode="External"/><Relationship Id="rId25" Type="http://schemas.openxmlformats.org/officeDocument/2006/relationships/hyperlink" Target="https://www.eitfood.eu/missions" TargetMode="External"/><Relationship Id="rId33" Type="http://schemas.openxmlformats.org/officeDocument/2006/relationships/hyperlink" Target="http://www.risingfoodstars.eu/" TargetMode="External"/><Relationship Id="rId38" Type="http://schemas.openxmlformats.org/officeDocument/2006/relationships/hyperlink" Target="mailto:fasttrackcall@eitfoo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A09EB28F17F134A93BCDBA43642DE8D" ma:contentTypeVersion="11" ma:contentTypeDescription="Ein neues Dokument erstellen." ma:contentTypeScope="" ma:versionID="d6b9e9414bf88ae6646b90cc72bd388e">
  <xsd:schema xmlns:xsd="http://www.w3.org/2001/XMLSchema" xmlns:xs="http://www.w3.org/2001/XMLSchema" xmlns:p="http://schemas.microsoft.com/office/2006/metadata/properties" xmlns:ns2="7895ec55-c5cd-4f77-b3b1-b782857c8612" xmlns:ns3="4d9654ca-a8bf-4d8b-a1c0-c6294c230b30" targetNamespace="http://schemas.microsoft.com/office/2006/metadata/properties" ma:root="true" ma:fieldsID="2c4a71de44ab37e37e23d4206656d639" ns2:_="" ns3:_="">
    <xsd:import namespace="7895ec55-c5cd-4f77-b3b1-b782857c8612"/>
    <xsd:import namespace="4d9654ca-a8bf-4d8b-a1c0-c6294c230b3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5ec55-c5cd-4f77-b3b1-b782857c8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4427c30-779f-4929-a31c-31fc6a806c1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54ca-a8bf-4d8b-a1c0-c6294c230b3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95ec55-c5cd-4f77-b3b1-b782857c8612">
      <Terms xmlns="http://schemas.microsoft.com/office/infopath/2007/PartnerControls"/>
    </lcf76f155ced4ddcb4097134ff3c332f>
    <SharedWithUsers xmlns="4d9654ca-a8bf-4d8b-a1c0-c6294c230b30">
      <UserInfo>
        <DisplayName>Adriano Pilla</DisplayName>
        <AccountId>11</AccountId>
        <AccountType/>
      </UserInfo>
    </SharedWithUsers>
  </documentManagement>
</p:properties>
</file>

<file path=customXml/itemProps1.xml><?xml version="1.0" encoding="utf-8"?>
<ds:datastoreItem xmlns:ds="http://schemas.openxmlformats.org/officeDocument/2006/customXml" ds:itemID="{B5726F47-6B1A-45A3-A349-FA7A84D20560}">
  <ds:schemaRefs>
    <ds:schemaRef ds:uri="http://schemas.microsoft.com/sharepoint/v3/contenttype/forms"/>
  </ds:schemaRefs>
</ds:datastoreItem>
</file>

<file path=customXml/itemProps2.xml><?xml version="1.0" encoding="utf-8"?>
<ds:datastoreItem xmlns:ds="http://schemas.openxmlformats.org/officeDocument/2006/customXml" ds:itemID="{5ED26D4D-5A3D-B243-97AB-75DA352F0475}">
  <ds:schemaRefs>
    <ds:schemaRef ds:uri="http://schemas.openxmlformats.org/officeDocument/2006/bibliography"/>
  </ds:schemaRefs>
</ds:datastoreItem>
</file>

<file path=customXml/itemProps3.xml><?xml version="1.0" encoding="utf-8"?>
<ds:datastoreItem xmlns:ds="http://schemas.openxmlformats.org/officeDocument/2006/customXml" ds:itemID="{60446A50-4F09-4F0D-A032-D672690BE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5ec55-c5cd-4f77-b3b1-b782857c8612"/>
    <ds:schemaRef ds:uri="4d9654ca-a8bf-4d8b-a1c0-c6294c230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D0FA4-AFDB-423F-9817-A47C870FFD4E}">
  <ds:schemaRefs>
    <ds:schemaRef ds:uri="http://schemas.microsoft.com/office/2006/metadata/properties"/>
    <ds:schemaRef ds:uri="http://schemas.microsoft.com/office/infopath/2007/PartnerControls"/>
    <ds:schemaRef ds:uri="7895ec55-c5cd-4f77-b3b1-b782857c8612"/>
    <ds:schemaRef ds:uri="4d9654ca-a8bf-4d8b-a1c0-c6294c230b3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5411</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van Niel</dc:creator>
  <cp:keywords/>
  <dc:description/>
  <cp:lastModifiedBy>Annick Ducher</cp:lastModifiedBy>
  <cp:revision>9</cp:revision>
  <dcterms:created xsi:type="dcterms:W3CDTF">2024-02-14T21:09:00Z</dcterms:created>
  <dcterms:modified xsi:type="dcterms:W3CDTF">2024-02-14T21:20:00Z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3177f192-0b37-4a9f-ae64-fddd1ce31605</vt:lpwstr>
  </property>
  <property fmtid="{D5CDD505-2E9C-101B-9397-08002B2CF9AE}" pid="3" name="ContentTypeId">
    <vt:lpwstr>0x0101005A09EB28F17F134A93BCDBA43642DE8D</vt:lpwstr>
  </property>
  <property fmtid="{D5CDD505-2E9C-101B-9397-08002B2CF9AE}" pid="4" name="MediaServiceImageTags">
    <vt:lpwstr/>
  </property>
</Properties>
</file>