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1227" w14:textId="77777777" w:rsidR="00F2585E" w:rsidRDefault="00F2585E">
      <w:pPr>
        <w:rPr>
          <w:b/>
          <w:bCs/>
          <w:color w:val="0070C0"/>
          <w:sz w:val="28"/>
          <w:szCs w:val="28"/>
          <w:lang w:val="uk-UA"/>
        </w:rPr>
      </w:pPr>
      <w:r w:rsidRPr="00F2585E">
        <w:rPr>
          <w:b/>
          <w:bCs/>
          <w:color w:val="0070C0"/>
          <w:sz w:val="28"/>
          <w:szCs w:val="28"/>
          <w:lang w:val="uk-UA"/>
        </w:rPr>
        <w:t>Навчальний модуль 2</w:t>
      </w:r>
      <w:r w:rsidRPr="00F2585E">
        <w:rPr>
          <w:sz w:val="28"/>
          <w:szCs w:val="28"/>
          <w:lang w:val="uk-UA"/>
        </w:rPr>
        <w:t xml:space="preserve">. </w:t>
      </w:r>
      <w:r w:rsidRPr="00F2585E">
        <w:rPr>
          <w:b/>
          <w:bCs/>
          <w:color w:val="0070C0"/>
          <w:sz w:val="28"/>
          <w:szCs w:val="28"/>
          <w:lang w:val="uk-UA"/>
        </w:rPr>
        <w:t xml:space="preserve">Додатковий матеріал. </w:t>
      </w:r>
    </w:p>
    <w:p w14:paraId="042CBB44" w14:textId="0C058097" w:rsidR="005D642B" w:rsidRPr="00F2585E" w:rsidRDefault="00F2585E">
      <w:pPr>
        <w:rPr>
          <w:sz w:val="24"/>
          <w:szCs w:val="24"/>
          <w:lang w:val="ru-RU"/>
        </w:rPr>
      </w:pPr>
      <w:r w:rsidRPr="00F2585E">
        <w:rPr>
          <w:b/>
          <w:bCs/>
          <w:sz w:val="24"/>
          <w:szCs w:val="24"/>
          <w:lang w:val="ru-RU"/>
        </w:rPr>
        <w:t>Оцінка інвестиційної готовності стартапу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F2585E" w:rsidRPr="00F2585E" w14:paraId="0EBAD194" w14:textId="77777777" w:rsidTr="00F2585E">
        <w:tc>
          <w:tcPr>
            <w:tcW w:w="6205" w:type="dxa"/>
          </w:tcPr>
          <w:p w14:paraId="3C2DA71E" w14:textId="77777777" w:rsidR="00F2585E" w:rsidRPr="00F2585E" w:rsidRDefault="00F2585E" w:rsidP="00842CDB">
            <w:pPr>
              <w:jc w:val="center"/>
              <w:rPr>
                <w:b/>
                <w:bCs/>
                <w:color w:val="0070C0"/>
                <w:lang w:val="ru-RU"/>
              </w:rPr>
            </w:pPr>
            <w:r w:rsidRPr="00F2585E">
              <w:rPr>
                <w:b/>
                <w:bCs/>
                <w:color w:val="0070C0"/>
                <w:lang w:val="ru-RU"/>
              </w:rPr>
              <w:t>Критерій</w:t>
            </w:r>
          </w:p>
        </w:tc>
        <w:tc>
          <w:tcPr>
            <w:tcW w:w="3145" w:type="dxa"/>
          </w:tcPr>
          <w:p w14:paraId="3E70F6DA" w14:textId="71DDE6E5" w:rsidR="00F2585E" w:rsidRPr="00F2585E" w:rsidRDefault="00F2585E" w:rsidP="00842CDB">
            <w:pPr>
              <w:jc w:val="center"/>
              <w:rPr>
                <w:b/>
                <w:bCs/>
                <w:color w:val="0070C0"/>
              </w:rPr>
            </w:pPr>
            <w:r w:rsidRPr="00F2585E">
              <w:rPr>
                <w:b/>
                <w:bCs/>
                <w:color w:val="0070C0"/>
                <w:lang w:val="ru-RU"/>
              </w:rPr>
              <w:t>Оцінка</w:t>
            </w:r>
            <w:r w:rsidRPr="00F2585E">
              <w:rPr>
                <w:b/>
                <w:bCs/>
                <w:color w:val="0070C0"/>
              </w:rPr>
              <w:t xml:space="preserve"> (</w:t>
            </w:r>
            <w:r>
              <w:rPr>
                <w:b/>
                <w:bCs/>
                <w:color w:val="0070C0"/>
              </w:rPr>
              <w:t>Strong-Moderate-Weak-N/A)</w:t>
            </w:r>
          </w:p>
        </w:tc>
      </w:tr>
      <w:tr w:rsidR="00F2585E" w14:paraId="0E54A024" w14:textId="77777777" w:rsidTr="00F2585E">
        <w:tc>
          <w:tcPr>
            <w:tcW w:w="6205" w:type="dxa"/>
          </w:tcPr>
          <w:p w14:paraId="0D7C4313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Надійний засновник та лідер команди</w:t>
            </w:r>
          </w:p>
        </w:tc>
        <w:tc>
          <w:tcPr>
            <w:tcW w:w="3145" w:type="dxa"/>
          </w:tcPr>
          <w:p w14:paraId="7325DB22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3C426D4D" w14:textId="77777777" w:rsidTr="00F2585E">
        <w:tc>
          <w:tcPr>
            <w:tcW w:w="6205" w:type="dxa"/>
          </w:tcPr>
          <w:p w14:paraId="5F90310F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Компетентна команда з релевантною експертизою та виконавчими здібностями</w:t>
            </w:r>
          </w:p>
        </w:tc>
        <w:tc>
          <w:tcPr>
            <w:tcW w:w="3145" w:type="dxa"/>
          </w:tcPr>
          <w:p w14:paraId="39B6FE31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75FA75D2" w14:textId="77777777" w:rsidTr="00F2585E">
        <w:tc>
          <w:tcPr>
            <w:tcW w:w="6205" w:type="dxa"/>
          </w:tcPr>
          <w:p w14:paraId="5B67F218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Чітка та визначена аудиторія цільових клієнтів</w:t>
            </w:r>
          </w:p>
        </w:tc>
        <w:tc>
          <w:tcPr>
            <w:tcW w:w="3145" w:type="dxa"/>
          </w:tcPr>
          <w:p w14:paraId="3DBF7BBA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0E8D41D2" w14:textId="77777777" w:rsidTr="00F2585E">
        <w:tc>
          <w:tcPr>
            <w:tcW w:w="6205" w:type="dxa"/>
          </w:tcPr>
          <w:p w14:paraId="2486DEAB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Продукт вирішує проблему для означених цільових</w:t>
            </w:r>
            <w:r w:rsidRPr="00F2585E">
              <w:rPr>
                <w:sz w:val="24"/>
                <w:szCs w:val="24"/>
              </w:rPr>
              <w:t> </w:t>
            </w:r>
            <w:r w:rsidRPr="00F2585E">
              <w:rPr>
                <w:sz w:val="24"/>
                <w:szCs w:val="24"/>
                <w:lang w:val="ru-RU"/>
              </w:rPr>
              <w:t>клієнтів</w:t>
            </w:r>
          </w:p>
        </w:tc>
        <w:tc>
          <w:tcPr>
            <w:tcW w:w="3145" w:type="dxa"/>
          </w:tcPr>
          <w:p w14:paraId="651916D1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26CCBD85" w14:textId="77777777" w:rsidTr="00F2585E">
        <w:tc>
          <w:tcPr>
            <w:tcW w:w="6205" w:type="dxa"/>
          </w:tcPr>
          <w:p w14:paraId="5C22CC5C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З'ясований і підтверджений ринковий попит</w:t>
            </w:r>
          </w:p>
        </w:tc>
        <w:tc>
          <w:tcPr>
            <w:tcW w:w="3145" w:type="dxa"/>
          </w:tcPr>
          <w:p w14:paraId="3E06D2AB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01644DF9" w14:textId="77777777" w:rsidTr="00F2585E">
        <w:tc>
          <w:tcPr>
            <w:tcW w:w="6205" w:type="dxa"/>
          </w:tcPr>
          <w:p w14:paraId="178F512A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Визначена та підтверджена бізнес-модель</w:t>
            </w:r>
          </w:p>
        </w:tc>
        <w:tc>
          <w:tcPr>
            <w:tcW w:w="3145" w:type="dxa"/>
          </w:tcPr>
          <w:p w14:paraId="7029746C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2F6C5D45" w14:textId="77777777" w:rsidTr="00F2585E">
        <w:tc>
          <w:tcPr>
            <w:tcW w:w="6205" w:type="dxa"/>
          </w:tcPr>
          <w:p w14:paraId="000FEAF4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Функціональний прототип/</w:t>
            </w:r>
            <w:proofErr w:type="spellStart"/>
            <w:r w:rsidRPr="00F2585E">
              <w:rPr>
                <w:sz w:val="24"/>
                <w:szCs w:val="24"/>
              </w:rPr>
              <w:t>mvp</w:t>
            </w:r>
            <w:proofErr w:type="spellEnd"/>
            <w:r w:rsidRPr="00F2585E">
              <w:rPr>
                <w:sz w:val="24"/>
                <w:szCs w:val="24"/>
                <w:lang w:val="ru-RU"/>
              </w:rPr>
              <w:t>/продукт для виходу на ринок</w:t>
            </w:r>
          </w:p>
        </w:tc>
        <w:tc>
          <w:tcPr>
            <w:tcW w:w="3145" w:type="dxa"/>
          </w:tcPr>
          <w:p w14:paraId="7DB54D88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02B0A13B" w14:textId="77777777" w:rsidTr="00F2585E">
        <w:tc>
          <w:tcPr>
            <w:tcW w:w="6205" w:type="dxa"/>
          </w:tcPr>
          <w:p w14:paraId="6B42DB08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Продемонстрований потенціал прибутку, доведена привабливість або вимірювана зацікавленість (кілька клієнтів у черзі, ранній дохід)</w:t>
            </w:r>
          </w:p>
        </w:tc>
        <w:tc>
          <w:tcPr>
            <w:tcW w:w="3145" w:type="dxa"/>
          </w:tcPr>
          <w:p w14:paraId="7ED9C03B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0DDF24A3" w14:textId="77777777" w:rsidTr="00F2585E">
        <w:tc>
          <w:tcPr>
            <w:tcW w:w="6205" w:type="dxa"/>
          </w:tcPr>
          <w:p w14:paraId="4D260968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Наявна стійка конкурентна перевага</w:t>
            </w:r>
          </w:p>
        </w:tc>
        <w:tc>
          <w:tcPr>
            <w:tcW w:w="3145" w:type="dxa"/>
          </w:tcPr>
          <w:p w14:paraId="4743C4BB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5D3FCC17" w14:textId="77777777" w:rsidTr="00F2585E">
        <w:tc>
          <w:tcPr>
            <w:tcW w:w="6205" w:type="dxa"/>
          </w:tcPr>
          <w:p w14:paraId="448D2781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Визначена потенційна частка ринку</w:t>
            </w:r>
          </w:p>
        </w:tc>
        <w:tc>
          <w:tcPr>
            <w:tcW w:w="3145" w:type="dxa"/>
          </w:tcPr>
          <w:p w14:paraId="763152BB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700E2339" w14:textId="77777777" w:rsidTr="00F2585E">
        <w:tc>
          <w:tcPr>
            <w:tcW w:w="6205" w:type="dxa"/>
          </w:tcPr>
          <w:p w14:paraId="73856771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План випуску</w:t>
            </w:r>
          </w:p>
        </w:tc>
        <w:tc>
          <w:tcPr>
            <w:tcW w:w="3145" w:type="dxa"/>
          </w:tcPr>
          <w:p w14:paraId="5FDE5921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786545F8" w14:textId="77777777" w:rsidTr="00F2585E">
        <w:tc>
          <w:tcPr>
            <w:tcW w:w="6205" w:type="dxa"/>
          </w:tcPr>
          <w:p w14:paraId="696A328C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Метрики для оцінки успіху</w:t>
            </w:r>
          </w:p>
        </w:tc>
        <w:tc>
          <w:tcPr>
            <w:tcW w:w="3145" w:type="dxa"/>
          </w:tcPr>
          <w:p w14:paraId="2A2213FB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05E11081" w14:textId="77777777" w:rsidTr="00F2585E">
        <w:tc>
          <w:tcPr>
            <w:tcW w:w="6205" w:type="dxa"/>
          </w:tcPr>
          <w:p w14:paraId="603A275D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Перелік топ-10 клієнтів</w:t>
            </w:r>
          </w:p>
        </w:tc>
        <w:tc>
          <w:tcPr>
            <w:tcW w:w="3145" w:type="dxa"/>
          </w:tcPr>
          <w:p w14:paraId="320506C2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1CD7FC9F" w14:textId="77777777" w:rsidTr="00F2585E">
        <w:tc>
          <w:tcPr>
            <w:tcW w:w="6205" w:type="dxa"/>
          </w:tcPr>
          <w:p w14:paraId="2642D80B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Перелік стратегічних відносин</w:t>
            </w:r>
          </w:p>
        </w:tc>
        <w:tc>
          <w:tcPr>
            <w:tcW w:w="3145" w:type="dxa"/>
          </w:tcPr>
          <w:p w14:paraId="6D66D3CB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4EED7FD0" w14:textId="77777777" w:rsidTr="00F2585E">
        <w:tc>
          <w:tcPr>
            <w:tcW w:w="6205" w:type="dxa"/>
          </w:tcPr>
          <w:p w14:paraId="25032C91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Список постачальників і договорів</w:t>
            </w:r>
          </w:p>
        </w:tc>
        <w:tc>
          <w:tcPr>
            <w:tcW w:w="3145" w:type="dxa"/>
          </w:tcPr>
          <w:p w14:paraId="05D17120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0ACFE6DC" w14:textId="77777777" w:rsidTr="00F2585E">
        <w:tc>
          <w:tcPr>
            <w:tcW w:w="6205" w:type="dxa"/>
          </w:tcPr>
          <w:p w14:paraId="084D2855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Аналіз конкурентного простору</w:t>
            </w:r>
          </w:p>
        </w:tc>
        <w:tc>
          <w:tcPr>
            <w:tcW w:w="3145" w:type="dxa"/>
          </w:tcPr>
          <w:p w14:paraId="1310E939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0B11BD75" w14:textId="77777777" w:rsidTr="00F2585E">
        <w:tc>
          <w:tcPr>
            <w:tcW w:w="6205" w:type="dxa"/>
          </w:tcPr>
          <w:p w14:paraId="64D82D68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Чіткі основи та операційна історія запуску</w:t>
            </w:r>
            <w:r w:rsidRPr="00F2585E">
              <w:rPr>
                <w:sz w:val="24"/>
                <w:szCs w:val="24"/>
              </w:rPr>
              <w:t> </w:t>
            </w:r>
            <w:r w:rsidRPr="00F2585E">
              <w:rPr>
                <w:sz w:val="24"/>
                <w:szCs w:val="24"/>
                <w:lang w:val="ru-RU"/>
              </w:rPr>
              <w:t>стартапу (включно з запланованими та фактичними результатами)</w:t>
            </w:r>
          </w:p>
        </w:tc>
        <w:tc>
          <w:tcPr>
            <w:tcW w:w="3145" w:type="dxa"/>
          </w:tcPr>
          <w:p w14:paraId="5452E46B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2D1A2F68" w14:textId="77777777" w:rsidTr="00F2585E">
        <w:tc>
          <w:tcPr>
            <w:tcW w:w="6205" w:type="dxa"/>
          </w:tcPr>
          <w:p w14:paraId="429DEA26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 xml:space="preserve">Баланс капіталу </w:t>
            </w:r>
            <w:r w:rsidRPr="00F2585E">
              <w:rPr>
                <w:sz w:val="24"/>
                <w:szCs w:val="24"/>
              </w:rPr>
              <w:t>vs</w:t>
            </w:r>
            <w:r w:rsidRPr="00F2585E">
              <w:rPr>
                <w:sz w:val="24"/>
                <w:szCs w:val="24"/>
                <w:lang w:val="ru-RU"/>
              </w:rPr>
              <w:t xml:space="preserve"> розподільний баланс</w:t>
            </w:r>
          </w:p>
        </w:tc>
        <w:tc>
          <w:tcPr>
            <w:tcW w:w="3145" w:type="dxa"/>
          </w:tcPr>
          <w:p w14:paraId="3F2C99EF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5EDB4DEB" w14:textId="77777777" w:rsidTr="00F2585E">
        <w:tc>
          <w:tcPr>
            <w:tcW w:w="6205" w:type="dxa"/>
          </w:tcPr>
          <w:p w14:paraId="60996A7E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Встановлені операційні показники, які підлягають моніторингу</w:t>
            </w:r>
          </w:p>
        </w:tc>
        <w:tc>
          <w:tcPr>
            <w:tcW w:w="3145" w:type="dxa"/>
          </w:tcPr>
          <w:p w14:paraId="78974913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0C1EE839" w14:textId="77777777" w:rsidTr="00F2585E">
        <w:tc>
          <w:tcPr>
            <w:tcW w:w="6205" w:type="dxa"/>
          </w:tcPr>
          <w:p w14:paraId="1E491F7E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Визначена поточна вартість та дійсна структура власного капіталу</w:t>
            </w:r>
          </w:p>
        </w:tc>
        <w:tc>
          <w:tcPr>
            <w:tcW w:w="3145" w:type="dxa"/>
          </w:tcPr>
          <w:p w14:paraId="7649E68F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70E6B450" w14:textId="77777777" w:rsidTr="00F2585E">
        <w:tc>
          <w:tcPr>
            <w:tcW w:w="6205" w:type="dxa"/>
          </w:tcPr>
          <w:p w14:paraId="18BF9851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Визначений ланцюг</w:t>
            </w:r>
            <w:r w:rsidRPr="00F2585E">
              <w:rPr>
                <w:sz w:val="24"/>
                <w:szCs w:val="24"/>
              </w:rPr>
              <w:t> </w:t>
            </w:r>
            <w:r w:rsidRPr="00F2585E">
              <w:rPr>
                <w:sz w:val="24"/>
                <w:szCs w:val="24"/>
                <w:lang w:val="ru-RU"/>
              </w:rPr>
              <w:t>вартості</w:t>
            </w:r>
          </w:p>
        </w:tc>
        <w:tc>
          <w:tcPr>
            <w:tcW w:w="3145" w:type="dxa"/>
          </w:tcPr>
          <w:p w14:paraId="09432B74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00D8B19F" w14:textId="77777777" w:rsidTr="00F2585E">
        <w:tc>
          <w:tcPr>
            <w:tcW w:w="6205" w:type="dxa"/>
          </w:tcPr>
          <w:p w14:paraId="5DA06396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Визначені ключові ризики</w:t>
            </w:r>
          </w:p>
        </w:tc>
        <w:tc>
          <w:tcPr>
            <w:tcW w:w="3145" w:type="dxa"/>
          </w:tcPr>
          <w:p w14:paraId="6D195B83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60AC9914" w14:textId="77777777" w:rsidTr="00F2585E">
        <w:tc>
          <w:tcPr>
            <w:tcW w:w="6205" w:type="dxa"/>
          </w:tcPr>
          <w:p w14:paraId="1422CC26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Перелік патентів, авторських прав, ліцензій або торгових марок</w:t>
            </w:r>
          </w:p>
        </w:tc>
        <w:tc>
          <w:tcPr>
            <w:tcW w:w="3145" w:type="dxa"/>
          </w:tcPr>
          <w:p w14:paraId="15FE87CE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0309AAC6" w14:textId="77777777" w:rsidTr="00F2585E">
        <w:tc>
          <w:tcPr>
            <w:tcW w:w="6205" w:type="dxa"/>
          </w:tcPr>
          <w:p w14:paraId="58796F0A" w14:textId="77777777" w:rsidR="00F2585E" w:rsidRPr="00F2585E" w:rsidRDefault="00F2585E" w:rsidP="00842CDB">
            <w:pPr>
              <w:rPr>
                <w:sz w:val="24"/>
                <w:szCs w:val="24"/>
                <w:lang w:val="ru-RU"/>
              </w:rPr>
            </w:pPr>
            <w:r w:rsidRPr="00F2585E">
              <w:rPr>
                <w:sz w:val="24"/>
                <w:szCs w:val="24"/>
                <w:lang w:val="ru-RU"/>
              </w:rPr>
              <w:t>Продемонстроване повернення інвестицій на цей момент</w:t>
            </w:r>
          </w:p>
        </w:tc>
        <w:tc>
          <w:tcPr>
            <w:tcW w:w="3145" w:type="dxa"/>
          </w:tcPr>
          <w:p w14:paraId="45A5C1D4" w14:textId="77777777" w:rsidR="00F2585E" w:rsidRDefault="00F2585E" w:rsidP="00842CDB">
            <w:pPr>
              <w:rPr>
                <w:lang w:val="ru-RU"/>
              </w:rPr>
            </w:pPr>
          </w:p>
        </w:tc>
      </w:tr>
      <w:tr w:rsidR="00F2585E" w14:paraId="29AAA7A7" w14:textId="77777777" w:rsidTr="00F2585E">
        <w:tc>
          <w:tcPr>
            <w:tcW w:w="6205" w:type="dxa"/>
          </w:tcPr>
          <w:p w14:paraId="24E92FB8" w14:textId="77777777" w:rsidR="00F2585E" w:rsidRPr="00F2585E" w:rsidRDefault="00F2585E" w:rsidP="00842CDB">
            <w:pPr>
              <w:rPr>
                <w:sz w:val="24"/>
                <w:szCs w:val="24"/>
                <w:lang w:val="uk-UA"/>
              </w:rPr>
            </w:pPr>
            <w:r w:rsidRPr="00F2585E">
              <w:rPr>
                <w:sz w:val="24"/>
                <w:szCs w:val="24"/>
                <w:lang w:val="uk-UA"/>
              </w:rPr>
              <w:t>Визначена стартегія виходу</w:t>
            </w:r>
          </w:p>
        </w:tc>
        <w:tc>
          <w:tcPr>
            <w:tcW w:w="3145" w:type="dxa"/>
          </w:tcPr>
          <w:p w14:paraId="20D86BC2" w14:textId="77777777" w:rsidR="00F2585E" w:rsidRDefault="00F2585E" w:rsidP="00842CDB">
            <w:pPr>
              <w:rPr>
                <w:lang w:val="ru-RU"/>
              </w:rPr>
            </w:pPr>
          </w:p>
        </w:tc>
      </w:tr>
    </w:tbl>
    <w:p w14:paraId="4EAF7523" w14:textId="77777777" w:rsidR="00F2585E" w:rsidRPr="00F2585E" w:rsidRDefault="00F2585E">
      <w:pPr>
        <w:rPr>
          <w:lang w:val="ru-RU"/>
        </w:rPr>
      </w:pPr>
    </w:p>
    <w:sectPr w:rsidR="00F2585E" w:rsidRPr="00F258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3D96" w14:textId="77777777" w:rsidR="00B031E8" w:rsidRDefault="00B031E8" w:rsidP="005D642B">
      <w:pPr>
        <w:spacing w:after="0" w:line="240" w:lineRule="auto"/>
      </w:pPr>
      <w:r>
        <w:separator/>
      </w:r>
    </w:p>
  </w:endnote>
  <w:endnote w:type="continuationSeparator" w:id="0">
    <w:p w14:paraId="18686336" w14:textId="77777777" w:rsidR="00B031E8" w:rsidRDefault="00B031E8" w:rsidP="005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A83" w14:textId="4396B523" w:rsidR="005D642B" w:rsidRDefault="005D642B" w:rsidP="005D642B">
    <w:pPr>
      <w:pStyle w:val="Footer"/>
      <w:spacing w:before="100" w:beforeAutospacing="1"/>
      <w:jc w:val="center"/>
    </w:pPr>
    <w:r w:rsidRPr="005D642B">
      <w:rPr>
        <w:noProof/>
      </w:rPr>
      <w:drawing>
        <wp:anchor distT="0" distB="0" distL="114300" distR="114300" simplePos="0" relativeHeight="251657216" behindDoc="0" locked="0" layoutInCell="1" allowOverlap="1" wp14:anchorId="647FD80E" wp14:editId="6D07C1CA">
          <wp:simplePos x="0" y="0"/>
          <wp:positionH relativeFrom="column">
            <wp:posOffset>4343400</wp:posOffset>
          </wp:positionH>
          <wp:positionV relativeFrom="paragraph">
            <wp:posOffset>38100</wp:posOffset>
          </wp:positionV>
          <wp:extent cx="434975" cy="304800"/>
          <wp:effectExtent l="0" t="0" r="3175" b="0"/>
          <wp:wrapNone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74F6C7-456B-189E-5234-DDA11AC47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F074F6C7-456B-189E-5234-DDA11AC47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4" t="25370" r="34074" b="52593"/>
                  <a:stretch/>
                </pic:blipFill>
                <pic:spPr>
                  <a:xfrm>
                    <a:off x="0" y="0"/>
                    <a:ext cx="4349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111AE6" wp14:editId="4462097E">
          <wp:extent cx="2314175" cy="39052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466" cy="39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D422" w14:textId="77777777" w:rsidR="00B031E8" w:rsidRDefault="00B031E8" w:rsidP="005D642B">
      <w:pPr>
        <w:spacing w:after="0" w:line="240" w:lineRule="auto"/>
      </w:pPr>
      <w:r>
        <w:separator/>
      </w:r>
    </w:p>
  </w:footnote>
  <w:footnote w:type="continuationSeparator" w:id="0">
    <w:p w14:paraId="7BE2C07C" w14:textId="77777777" w:rsidR="00B031E8" w:rsidRDefault="00B031E8" w:rsidP="005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3B3" w14:textId="70C7690E" w:rsidR="005D642B" w:rsidRDefault="005D642B">
    <w:pPr>
      <w:pStyle w:val="Header"/>
    </w:pPr>
    <w:r w:rsidRPr="005D3CDA">
      <w:rPr>
        <w:noProof/>
      </w:rPr>
      <w:drawing>
        <wp:inline distT="0" distB="0" distL="0" distR="0" wp14:anchorId="2D163C1E" wp14:editId="490D1274">
          <wp:extent cx="1288048" cy="249250"/>
          <wp:effectExtent l="0" t="0" r="7620" b="0"/>
          <wp:docPr id="771" name="re_start_logo-08.png" descr="re_start_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re_start_logo-08.png" descr="re_start_logo-0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048" cy="2492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B"/>
    <w:rsid w:val="005D642B"/>
    <w:rsid w:val="00B031E8"/>
    <w:rsid w:val="00F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B282"/>
  <w15:chartTrackingRefBased/>
  <w15:docId w15:val="{00BA8881-243E-489A-8AE0-84EA4F3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2B"/>
  </w:style>
  <w:style w:type="paragraph" w:styleId="Footer">
    <w:name w:val="footer"/>
    <w:basedOn w:val="Normal"/>
    <w:link w:val="Foot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2B"/>
  </w:style>
  <w:style w:type="table" w:styleId="TableGrid">
    <w:name w:val="Table Grid"/>
    <w:basedOn w:val="TableNormal"/>
    <w:uiPriority w:val="39"/>
    <w:rsid w:val="00F2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7" ma:contentTypeDescription="Utwórz nowy dokument." ma:contentTypeScope="" ma:versionID="2e98c46254eb2a0bd1d7f65fe43bc706">
  <xsd:schema xmlns:xsd="http://www.w3.org/2001/XMLSchema" xmlns:xs="http://www.w3.org/2001/XMLSchema" xmlns:p="http://schemas.microsoft.com/office/2006/metadata/properties" xmlns:ns2="db6ca9af-5e7b-4a43-b260-369d46749709" xmlns:ns3="9621946d-a57e-4aad-a791-840c9869fbac" xmlns:ns4="64d2644c-3e8f-476f-bee1-8438476db436" targetNamespace="http://schemas.microsoft.com/office/2006/metadata/properties" ma:root="true" ma:fieldsID="878a980d126702f42ed14b589b03a7cd" ns2:_="" ns3:_="" ns4:_="">
    <xsd:import namespace="db6ca9af-5e7b-4a43-b260-369d46749709"/>
    <xsd:import namespace="9621946d-a57e-4aad-a791-840c9869fbac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01976c-4c38-405e-b6a0-37d989ab766c}" ma:internalName="TaxCatchAll" ma:showField="CatchAllData" ma:web="9621946d-a57e-4aad-a791-840c9869f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_Flow_SignoffStatus xmlns="db6ca9af-5e7b-4a43-b260-369d46749709" xsi:nil="true"/>
    <lcf76f155ced4ddcb4097134ff3c332f xmlns="db6ca9af-5e7b-4a43-b260-369d46749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2CA8D9-AC92-40F3-816F-864D3CE73340}"/>
</file>

<file path=customXml/itemProps2.xml><?xml version="1.0" encoding="utf-8"?>
<ds:datastoreItem xmlns:ds="http://schemas.openxmlformats.org/officeDocument/2006/customXml" ds:itemID="{CFA0E668-EBC6-4B35-A0F4-8CFD155B7552}"/>
</file>

<file path=customXml/itemProps3.xml><?xml version="1.0" encoding="utf-8"?>
<ds:datastoreItem xmlns:ds="http://schemas.openxmlformats.org/officeDocument/2006/customXml" ds:itemID="{62C5FED7-1703-4120-84DD-8E1E25835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 Sviatnenko</dc:creator>
  <cp:keywords/>
  <dc:description/>
  <cp:lastModifiedBy>Sviatoslav Sviatnenko</cp:lastModifiedBy>
  <cp:revision>3</cp:revision>
  <dcterms:created xsi:type="dcterms:W3CDTF">2022-12-27T15:31:00Z</dcterms:created>
  <dcterms:modified xsi:type="dcterms:W3CDTF">2022-12-27T22:45:00Z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0e62802f-8a1b-4bf3-bec3-64ed4e88e849</vt:lpwstr>
  </property>
  <property fmtid="{D5CDD505-2E9C-101B-9397-08002B2CF9AE}" pid="3" name="ContentTypeId">
    <vt:lpwstr>0x0101001D5030D6EBA3DF4D9ED12E7F81FBBA16</vt:lpwstr>
  </property>
</Properties>
</file>